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6FB" w:rsidRDefault="00A909E6" w:rsidP="00A909E6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0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E34EFB" w:rsidRPr="00E34E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нализ внешней среды предприятия посредством PEST-анализа.</w:t>
      </w:r>
    </w:p>
    <w:p w:rsidR="00A909E6" w:rsidRDefault="00A909E6" w:rsidP="00A909E6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F36FB" w:rsidRPr="0089230F" w:rsidTr="005A25C5">
        <w:tc>
          <w:tcPr>
            <w:tcW w:w="4672" w:type="dxa"/>
            <w:vAlign w:val="center"/>
          </w:tcPr>
          <w:p w:rsidR="00AF36FB" w:rsidRPr="00E34EFB" w:rsidRDefault="00AF36FB" w:rsidP="00A909E6">
            <w:pPr>
              <w:ind w:firstLine="225"/>
              <w:rPr>
                <w:color w:val="000000"/>
                <w:sz w:val="24"/>
                <w:szCs w:val="24"/>
              </w:rPr>
            </w:pPr>
            <w:r w:rsidRPr="00E34EFB">
              <w:rPr>
                <w:color w:val="000000"/>
                <w:sz w:val="24"/>
                <w:szCs w:val="24"/>
              </w:rPr>
              <w:t>Политика</w:t>
            </w:r>
          </w:p>
        </w:tc>
        <w:tc>
          <w:tcPr>
            <w:tcW w:w="4673" w:type="dxa"/>
            <w:vAlign w:val="center"/>
          </w:tcPr>
          <w:p w:rsidR="00AF36FB" w:rsidRPr="00E34EFB" w:rsidRDefault="00AF36FB" w:rsidP="00A909E6">
            <w:pPr>
              <w:ind w:firstLine="225"/>
              <w:rPr>
                <w:color w:val="000000"/>
                <w:sz w:val="24"/>
                <w:szCs w:val="24"/>
              </w:rPr>
            </w:pPr>
            <w:r w:rsidRPr="00E34EFB">
              <w:rPr>
                <w:color w:val="000000"/>
                <w:sz w:val="24"/>
                <w:szCs w:val="24"/>
              </w:rPr>
              <w:t>Экономика</w:t>
            </w:r>
          </w:p>
        </w:tc>
      </w:tr>
      <w:tr w:rsidR="00AF36FB" w:rsidRPr="0089230F" w:rsidTr="005A25C5">
        <w:tc>
          <w:tcPr>
            <w:tcW w:w="4672" w:type="dxa"/>
            <w:vAlign w:val="center"/>
          </w:tcPr>
          <w:p w:rsidR="00AF36FB" w:rsidRPr="00E34EFB" w:rsidRDefault="00AF36FB" w:rsidP="00A909E6">
            <w:pPr>
              <w:ind w:firstLine="225"/>
              <w:rPr>
                <w:color w:val="000000"/>
                <w:sz w:val="24"/>
                <w:szCs w:val="24"/>
              </w:rPr>
            </w:pPr>
            <w:r w:rsidRPr="00E34EFB">
              <w:rPr>
                <w:color w:val="000000"/>
                <w:sz w:val="24"/>
                <w:szCs w:val="24"/>
              </w:rPr>
              <w:t>1. Нет определенной государственной политики для нашей продукции. Отсутствие поддержки со стороны государства</w:t>
            </w:r>
          </w:p>
        </w:tc>
        <w:tc>
          <w:tcPr>
            <w:tcW w:w="4673" w:type="dxa"/>
            <w:vAlign w:val="center"/>
          </w:tcPr>
          <w:p w:rsidR="00AF36FB" w:rsidRPr="00E34EFB" w:rsidRDefault="00AF36FB" w:rsidP="00A909E6">
            <w:pPr>
              <w:ind w:firstLine="225"/>
              <w:rPr>
                <w:color w:val="000000"/>
                <w:sz w:val="24"/>
                <w:szCs w:val="24"/>
              </w:rPr>
            </w:pPr>
            <w:r w:rsidRPr="00E34EFB">
              <w:rPr>
                <w:color w:val="000000"/>
                <w:sz w:val="24"/>
                <w:szCs w:val="24"/>
              </w:rPr>
              <w:t>1. Высокая суммарная налоговая нагрузка на предприятие и возможность ее усиления</w:t>
            </w:r>
          </w:p>
        </w:tc>
      </w:tr>
      <w:tr w:rsidR="00AF36FB" w:rsidRPr="0089230F" w:rsidTr="00D85AA6">
        <w:tc>
          <w:tcPr>
            <w:tcW w:w="4672" w:type="dxa"/>
            <w:vAlign w:val="center"/>
          </w:tcPr>
          <w:p w:rsidR="00AF36FB" w:rsidRPr="00E34EFB" w:rsidRDefault="00AF36FB" w:rsidP="00A909E6">
            <w:pPr>
              <w:ind w:firstLine="225"/>
              <w:rPr>
                <w:color w:val="000000"/>
                <w:sz w:val="24"/>
                <w:szCs w:val="24"/>
              </w:rPr>
            </w:pPr>
            <w:r w:rsidRPr="00E34EFB">
              <w:rPr>
                <w:color w:val="000000"/>
                <w:sz w:val="24"/>
                <w:szCs w:val="24"/>
              </w:rPr>
              <w:t>2. Отсутствие единых государственных организаций, занимающихся выдачей различного рода лицензий, разрешений и пр.</w:t>
            </w:r>
          </w:p>
        </w:tc>
        <w:tc>
          <w:tcPr>
            <w:tcW w:w="4673" w:type="dxa"/>
            <w:vAlign w:val="center"/>
          </w:tcPr>
          <w:p w:rsidR="00AF36FB" w:rsidRPr="00E34EFB" w:rsidRDefault="00AF36FB" w:rsidP="00A909E6">
            <w:pPr>
              <w:ind w:firstLine="225"/>
              <w:rPr>
                <w:color w:val="000000"/>
                <w:sz w:val="24"/>
                <w:szCs w:val="24"/>
              </w:rPr>
            </w:pPr>
            <w:r w:rsidRPr="00E34EFB">
              <w:rPr>
                <w:color w:val="000000"/>
                <w:sz w:val="24"/>
                <w:szCs w:val="24"/>
              </w:rPr>
              <w:t>2. Рост темпов инфляции. Рост цен на энергоносители, сырье, материалы и транспортные расходы</w:t>
            </w:r>
          </w:p>
        </w:tc>
      </w:tr>
      <w:tr w:rsidR="00AF36FB" w:rsidRPr="0089230F" w:rsidTr="00D85AA6">
        <w:tc>
          <w:tcPr>
            <w:tcW w:w="4672" w:type="dxa"/>
            <w:vAlign w:val="center"/>
          </w:tcPr>
          <w:p w:rsidR="00AF36FB" w:rsidRPr="00E34EFB" w:rsidRDefault="00AF36FB" w:rsidP="00A909E6">
            <w:pPr>
              <w:ind w:firstLine="225"/>
              <w:rPr>
                <w:color w:val="000000"/>
                <w:sz w:val="24"/>
                <w:szCs w:val="24"/>
              </w:rPr>
            </w:pPr>
            <w:r w:rsidRPr="00E34EFB">
              <w:rPr>
                <w:color w:val="000000"/>
                <w:sz w:val="24"/>
                <w:szCs w:val="24"/>
              </w:rPr>
              <w:t>3. Подверженность решений руководителей предприятия мнению более высокого руководства</w:t>
            </w:r>
          </w:p>
        </w:tc>
        <w:tc>
          <w:tcPr>
            <w:tcW w:w="4673" w:type="dxa"/>
            <w:vAlign w:val="center"/>
          </w:tcPr>
          <w:p w:rsidR="00AF36FB" w:rsidRPr="00E34EFB" w:rsidRDefault="00AF36FB" w:rsidP="00A909E6">
            <w:pPr>
              <w:ind w:firstLine="225"/>
              <w:rPr>
                <w:color w:val="000000"/>
                <w:sz w:val="24"/>
                <w:szCs w:val="24"/>
              </w:rPr>
            </w:pPr>
            <w:r w:rsidRPr="00E34EFB">
              <w:rPr>
                <w:color w:val="000000"/>
                <w:sz w:val="24"/>
                <w:szCs w:val="24"/>
              </w:rPr>
              <w:t>3. Отсутствие ясных перспектив в развитии экономики России. Опасность экономической нестабильности</w:t>
            </w:r>
          </w:p>
        </w:tc>
      </w:tr>
      <w:tr w:rsidR="00AF36FB" w:rsidRPr="0089230F" w:rsidTr="00D85AA6">
        <w:tc>
          <w:tcPr>
            <w:tcW w:w="4672" w:type="dxa"/>
            <w:vAlign w:val="center"/>
          </w:tcPr>
          <w:p w:rsidR="00AF36FB" w:rsidRPr="00E34EFB" w:rsidRDefault="00AF36FB" w:rsidP="00A909E6">
            <w:pPr>
              <w:ind w:firstLine="225"/>
              <w:rPr>
                <w:color w:val="000000"/>
                <w:sz w:val="24"/>
                <w:szCs w:val="24"/>
              </w:rPr>
            </w:pPr>
            <w:r w:rsidRPr="00E34EFB">
              <w:rPr>
                <w:color w:val="000000"/>
                <w:sz w:val="24"/>
                <w:szCs w:val="24"/>
              </w:rPr>
              <w:t>4. Государственный (коррупция) и криминальный рэкет</w:t>
            </w:r>
          </w:p>
        </w:tc>
        <w:tc>
          <w:tcPr>
            <w:tcW w:w="4673" w:type="dxa"/>
            <w:vAlign w:val="center"/>
          </w:tcPr>
          <w:p w:rsidR="00AF36FB" w:rsidRPr="00E34EFB" w:rsidRDefault="00AF36FB" w:rsidP="00A909E6">
            <w:pPr>
              <w:ind w:firstLine="225"/>
              <w:rPr>
                <w:color w:val="000000"/>
                <w:sz w:val="24"/>
                <w:szCs w:val="24"/>
              </w:rPr>
            </w:pPr>
            <w:r w:rsidRPr="00E34EFB">
              <w:rPr>
                <w:color w:val="000000"/>
                <w:sz w:val="24"/>
                <w:szCs w:val="24"/>
              </w:rPr>
              <w:t>4. Отсутствие документированной и утвержденной стратегии развития России</w:t>
            </w:r>
          </w:p>
        </w:tc>
      </w:tr>
      <w:tr w:rsidR="00AF36FB" w:rsidRPr="0089230F" w:rsidTr="00D85AA6">
        <w:tc>
          <w:tcPr>
            <w:tcW w:w="4672" w:type="dxa"/>
            <w:vAlign w:val="center"/>
          </w:tcPr>
          <w:p w:rsidR="00AF36FB" w:rsidRPr="00E34EFB" w:rsidRDefault="00AF36FB" w:rsidP="00A909E6">
            <w:pPr>
              <w:ind w:firstLine="225"/>
              <w:rPr>
                <w:color w:val="000000"/>
                <w:sz w:val="24"/>
                <w:szCs w:val="24"/>
              </w:rPr>
            </w:pPr>
            <w:r w:rsidRPr="00E34EFB">
              <w:rPr>
                <w:color w:val="000000"/>
                <w:sz w:val="24"/>
                <w:szCs w:val="24"/>
              </w:rPr>
              <w:t>Социум</w:t>
            </w:r>
          </w:p>
        </w:tc>
        <w:tc>
          <w:tcPr>
            <w:tcW w:w="4673" w:type="dxa"/>
            <w:vAlign w:val="center"/>
          </w:tcPr>
          <w:p w:rsidR="00AF36FB" w:rsidRPr="00E34EFB" w:rsidRDefault="00AF36FB" w:rsidP="00A909E6">
            <w:pPr>
              <w:ind w:firstLine="225"/>
              <w:rPr>
                <w:color w:val="000000"/>
                <w:sz w:val="24"/>
                <w:szCs w:val="24"/>
              </w:rPr>
            </w:pPr>
            <w:r w:rsidRPr="00E34EFB">
              <w:rPr>
                <w:color w:val="000000"/>
                <w:sz w:val="24"/>
                <w:szCs w:val="24"/>
              </w:rPr>
              <w:t>Технология</w:t>
            </w:r>
          </w:p>
        </w:tc>
      </w:tr>
      <w:tr w:rsidR="00AF36FB" w:rsidRPr="0089230F" w:rsidTr="00D85AA6">
        <w:tc>
          <w:tcPr>
            <w:tcW w:w="4672" w:type="dxa"/>
            <w:vAlign w:val="center"/>
          </w:tcPr>
          <w:p w:rsidR="00AF36FB" w:rsidRPr="00E34EFB" w:rsidRDefault="00AF36FB" w:rsidP="00A909E6">
            <w:pPr>
              <w:ind w:firstLine="225"/>
              <w:rPr>
                <w:color w:val="000000"/>
                <w:sz w:val="24"/>
                <w:szCs w:val="24"/>
              </w:rPr>
            </w:pPr>
            <w:r w:rsidRPr="00E34EFB">
              <w:rPr>
                <w:color w:val="000000"/>
                <w:sz w:val="24"/>
                <w:szCs w:val="24"/>
              </w:rPr>
              <w:t>1. Влияние фактора мобильности производства продукции</w:t>
            </w:r>
          </w:p>
        </w:tc>
        <w:tc>
          <w:tcPr>
            <w:tcW w:w="4673" w:type="dxa"/>
            <w:vAlign w:val="center"/>
          </w:tcPr>
          <w:p w:rsidR="00AF36FB" w:rsidRPr="00E34EFB" w:rsidRDefault="00AF36FB" w:rsidP="00A909E6">
            <w:pPr>
              <w:ind w:firstLine="225"/>
              <w:rPr>
                <w:color w:val="000000"/>
                <w:sz w:val="24"/>
                <w:szCs w:val="24"/>
              </w:rPr>
            </w:pPr>
            <w:r w:rsidRPr="00E34EFB">
              <w:rPr>
                <w:color w:val="000000"/>
                <w:sz w:val="24"/>
                <w:szCs w:val="24"/>
              </w:rPr>
              <w:t>1. Акцент на компьютеризацию процесса производства</w:t>
            </w:r>
          </w:p>
        </w:tc>
      </w:tr>
      <w:tr w:rsidR="00AF36FB" w:rsidRPr="0089230F" w:rsidTr="00D85AA6">
        <w:tc>
          <w:tcPr>
            <w:tcW w:w="4672" w:type="dxa"/>
            <w:vAlign w:val="center"/>
          </w:tcPr>
          <w:p w:rsidR="00AF36FB" w:rsidRPr="00E34EFB" w:rsidRDefault="00AF36FB" w:rsidP="00A909E6">
            <w:pPr>
              <w:ind w:firstLine="225"/>
              <w:rPr>
                <w:color w:val="000000"/>
                <w:sz w:val="24"/>
                <w:szCs w:val="24"/>
              </w:rPr>
            </w:pPr>
            <w:r w:rsidRPr="00E34EFB">
              <w:rPr>
                <w:color w:val="000000"/>
                <w:sz w:val="24"/>
                <w:szCs w:val="24"/>
              </w:rPr>
              <w:t>2. Влияние предпочтений потребителя в соответствии со стандартами качества</w:t>
            </w:r>
          </w:p>
        </w:tc>
        <w:tc>
          <w:tcPr>
            <w:tcW w:w="4673" w:type="dxa"/>
            <w:vAlign w:val="center"/>
          </w:tcPr>
          <w:p w:rsidR="00AF36FB" w:rsidRPr="00E34EFB" w:rsidRDefault="00AF36FB" w:rsidP="00A909E6">
            <w:pPr>
              <w:ind w:firstLine="225"/>
              <w:rPr>
                <w:color w:val="000000"/>
                <w:sz w:val="24"/>
                <w:szCs w:val="24"/>
              </w:rPr>
            </w:pPr>
            <w:r w:rsidRPr="00E34EFB">
              <w:rPr>
                <w:color w:val="000000"/>
                <w:sz w:val="24"/>
                <w:szCs w:val="24"/>
              </w:rPr>
              <w:t>2. Внедрение высокотехнологичного оборудования</w:t>
            </w:r>
          </w:p>
        </w:tc>
      </w:tr>
      <w:tr w:rsidR="00AF36FB" w:rsidRPr="0089230F" w:rsidTr="00D85AA6">
        <w:tc>
          <w:tcPr>
            <w:tcW w:w="4672" w:type="dxa"/>
            <w:vAlign w:val="center"/>
          </w:tcPr>
          <w:p w:rsidR="00AF36FB" w:rsidRPr="00E34EFB" w:rsidRDefault="00AF36FB" w:rsidP="00A909E6">
            <w:pPr>
              <w:ind w:firstLine="225"/>
              <w:rPr>
                <w:color w:val="000000"/>
                <w:sz w:val="24"/>
                <w:szCs w:val="24"/>
              </w:rPr>
            </w:pPr>
            <w:r w:rsidRPr="00E34EFB">
              <w:rPr>
                <w:color w:val="000000"/>
                <w:sz w:val="24"/>
                <w:szCs w:val="24"/>
              </w:rPr>
              <w:t>3. Требование гарантийных обязательств на произведенную продукцию</w:t>
            </w:r>
          </w:p>
        </w:tc>
        <w:tc>
          <w:tcPr>
            <w:tcW w:w="4673" w:type="dxa"/>
            <w:vAlign w:val="center"/>
          </w:tcPr>
          <w:p w:rsidR="00AF36FB" w:rsidRPr="00E34EFB" w:rsidRDefault="00AF36FB" w:rsidP="00A909E6">
            <w:pPr>
              <w:ind w:firstLine="225"/>
              <w:rPr>
                <w:color w:val="000000"/>
                <w:sz w:val="24"/>
                <w:szCs w:val="24"/>
              </w:rPr>
            </w:pPr>
            <w:r w:rsidRPr="00E34EFB">
              <w:rPr>
                <w:color w:val="000000"/>
                <w:sz w:val="24"/>
                <w:szCs w:val="24"/>
              </w:rPr>
              <w:t>3. Использование передового опыта в области производства печей</w:t>
            </w:r>
          </w:p>
        </w:tc>
      </w:tr>
      <w:tr w:rsidR="00AF36FB" w:rsidRPr="0089230F" w:rsidTr="00D85AA6">
        <w:tc>
          <w:tcPr>
            <w:tcW w:w="4672" w:type="dxa"/>
            <w:vAlign w:val="center"/>
          </w:tcPr>
          <w:p w:rsidR="00AF36FB" w:rsidRPr="00253DB6" w:rsidRDefault="00AF36FB" w:rsidP="00A909E6">
            <w:pPr>
              <w:ind w:firstLine="225"/>
              <w:rPr>
                <w:color w:val="000000"/>
                <w:sz w:val="24"/>
                <w:szCs w:val="24"/>
              </w:rPr>
            </w:pPr>
            <w:r w:rsidRPr="00253DB6">
              <w:rPr>
                <w:color w:val="000000"/>
                <w:sz w:val="24"/>
                <w:szCs w:val="24"/>
              </w:rPr>
              <w:t>Что анализируем</w:t>
            </w:r>
          </w:p>
        </w:tc>
        <w:tc>
          <w:tcPr>
            <w:tcW w:w="4673" w:type="dxa"/>
            <w:vAlign w:val="center"/>
          </w:tcPr>
          <w:p w:rsidR="00AF36FB" w:rsidRPr="00253DB6" w:rsidRDefault="00AF36FB" w:rsidP="00A909E6">
            <w:pPr>
              <w:ind w:firstLine="225"/>
              <w:rPr>
                <w:color w:val="000000"/>
                <w:sz w:val="24"/>
                <w:szCs w:val="24"/>
              </w:rPr>
            </w:pPr>
            <w:r w:rsidRPr="00253DB6">
              <w:rPr>
                <w:color w:val="000000"/>
                <w:sz w:val="24"/>
                <w:szCs w:val="24"/>
              </w:rPr>
              <w:t>Вывод</w:t>
            </w:r>
          </w:p>
        </w:tc>
      </w:tr>
      <w:tr w:rsidR="00AF36FB" w:rsidRPr="0089230F" w:rsidTr="00D85AA6">
        <w:tc>
          <w:tcPr>
            <w:tcW w:w="4672" w:type="dxa"/>
            <w:vAlign w:val="center"/>
          </w:tcPr>
          <w:p w:rsidR="00AF36FB" w:rsidRPr="00253DB6" w:rsidRDefault="00AF36FB" w:rsidP="00A909E6">
            <w:pPr>
              <w:ind w:firstLine="225"/>
              <w:rPr>
                <w:color w:val="000000"/>
                <w:sz w:val="24"/>
                <w:szCs w:val="24"/>
              </w:rPr>
            </w:pPr>
            <w:r w:rsidRPr="00253DB6">
              <w:rPr>
                <w:color w:val="000000"/>
                <w:sz w:val="24"/>
                <w:szCs w:val="24"/>
              </w:rPr>
              <w:t>Сильные стороны + возможность</w:t>
            </w:r>
          </w:p>
        </w:tc>
        <w:tc>
          <w:tcPr>
            <w:tcW w:w="4673" w:type="dxa"/>
            <w:vAlign w:val="center"/>
          </w:tcPr>
          <w:p w:rsidR="00AF36FB" w:rsidRPr="00253DB6" w:rsidRDefault="00AF36FB" w:rsidP="00A909E6">
            <w:pPr>
              <w:ind w:firstLine="225"/>
              <w:rPr>
                <w:color w:val="000000"/>
                <w:sz w:val="24"/>
                <w:szCs w:val="24"/>
              </w:rPr>
            </w:pPr>
            <w:r w:rsidRPr="00253DB6">
              <w:rPr>
                <w:color w:val="000000"/>
                <w:sz w:val="24"/>
                <w:szCs w:val="24"/>
              </w:rPr>
              <w:t>Мы улучшаем сильные стороны бизнеса “Широкая географическая представленность”, используя возможность проведения масштабных маркетинговых исследований</w:t>
            </w:r>
          </w:p>
        </w:tc>
      </w:tr>
      <w:tr w:rsidR="00AF36FB" w:rsidRPr="0089230F" w:rsidTr="00D85AA6">
        <w:tc>
          <w:tcPr>
            <w:tcW w:w="4672" w:type="dxa"/>
            <w:vAlign w:val="center"/>
          </w:tcPr>
          <w:p w:rsidR="00AF36FB" w:rsidRPr="00253DB6" w:rsidRDefault="00AF36FB" w:rsidP="00A909E6">
            <w:pPr>
              <w:ind w:firstLine="225"/>
              <w:rPr>
                <w:color w:val="000000"/>
                <w:sz w:val="24"/>
                <w:szCs w:val="24"/>
              </w:rPr>
            </w:pPr>
            <w:r w:rsidRPr="00253DB6">
              <w:rPr>
                <w:color w:val="000000"/>
                <w:sz w:val="24"/>
                <w:szCs w:val="24"/>
              </w:rPr>
              <w:t>Слабые стороны + возможности</w:t>
            </w:r>
          </w:p>
        </w:tc>
        <w:tc>
          <w:tcPr>
            <w:tcW w:w="4673" w:type="dxa"/>
            <w:vAlign w:val="center"/>
          </w:tcPr>
          <w:p w:rsidR="00AF36FB" w:rsidRPr="00253DB6" w:rsidRDefault="00AF36FB" w:rsidP="00A909E6">
            <w:pPr>
              <w:ind w:firstLine="225"/>
              <w:rPr>
                <w:color w:val="000000"/>
                <w:sz w:val="24"/>
                <w:szCs w:val="24"/>
              </w:rPr>
            </w:pPr>
            <w:r w:rsidRPr="00253DB6">
              <w:rPr>
                <w:color w:val="000000"/>
                <w:sz w:val="24"/>
                <w:szCs w:val="24"/>
              </w:rPr>
              <w:t>Мы уходим от слабой стороны “Высокая зависимость от дистрибьютора”, используя возможность организации обучающих тренингов для отдела продаж и руководителей</w:t>
            </w:r>
          </w:p>
        </w:tc>
      </w:tr>
      <w:tr w:rsidR="00AF36FB" w:rsidRPr="0089230F" w:rsidTr="00D85AA6">
        <w:tc>
          <w:tcPr>
            <w:tcW w:w="4672" w:type="dxa"/>
            <w:vAlign w:val="center"/>
          </w:tcPr>
          <w:p w:rsidR="00AF36FB" w:rsidRPr="00253DB6" w:rsidRDefault="00AF36FB" w:rsidP="00A909E6">
            <w:pPr>
              <w:ind w:firstLine="225"/>
              <w:rPr>
                <w:color w:val="000000"/>
                <w:sz w:val="24"/>
                <w:szCs w:val="24"/>
              </w:rPr>
            </w:pPr>
            <w:r w:rsidRPr="00253DB6">
              <w:rPr>
                <w:color w:val="000000"/>
                <w:sz w:val="24"/>
                <w:szCs w:val="24"/>
              </w:rPr>
              <w:t>Слабые стороны + угрозы</w:t>
            </w:r>
          </w:p>
        </w:tc>
        <w:tc>
          <w:tcPr>
            <w:tcW w:w="4673" w:type="dxa"/>
            <w:vAlign w:val="center"/>
          </w:tcPr>
          <w:p w:rsidR="00AF36FB" w:rsidRPr="00253DB6" w:rsidRDefault="00AF36FB" w:rsidP="00A909E6">
            <w:pPr>
              <w:ind w:firstLine="225"/>
              <w:rPr>
                <w:color w:val="000000"/>
                <w:sz w:val="24"/>
                <w:szCs w:val="24"/>
              </w:rPr>
            </w:pPr>
            <w:r w:rsidRPr="00253DB6">
              <w:rPr>
                <w:color w:val="000000"/>
                <w:sz w:val="24"/>
                <w:szCs w:val="24"/>
              </w:rPr>
              <w:t>Мы снижаем угрозу рынка “Из-за роста конкуренции наша доля на рынке может снизиться”, отказываясь от слабой стороны “Недостаточная приверженность покупателей к бренду”</w:t>
            </w:r>
          </w:p>
        </w:tc>
      </w:tr>
      <w:tr w:rsidR="00AF36FB" w:rsidRPr="0089230F" w:rsidTr="00D85AA6">
        <w:tc>
          <w:tcPr>
            <w:tcW w:w="4672" w:type="dxa"/>
            <w:vAlign w:val="center"/>
          </w:tcPr>
          <w:p w:rsidR="00AF36FB" w:rsidRPr="00253DB6" w:rsidRDefault="00AF36FB" w:rsidP="00A909E6">
            <w:pPr>
              <w:ind w:firstLine="225"/>
              <w:rPr>
                <w:color w:val="000000"/>
                <w:sz w:val="24"/>
                <w:szCs w:val="24"/>
              </w:rPr>
            </w:pPr>
            <w:r w:rsidRPr="00253DB6">
              <w:rPr>
                <w:color w:val="000000"/>
                <w:sz w:val="24"/>
                <w:szCs w:val="24"/>
              </w:rPr>
              <w:t>Сильные стороны + угрозы</w:t>
            </w:r>
          </w:p>
        </w:tc>
        <w:tc>
          <w:tcPr>
            <w:tcW w:w="4673" w:type="dxa"/>
            <w:vAlign w:val="center"/>
          </w:tcPr>
          <w:p w:rsidR="00AF36FB" w:rsidRPr="00253DB6" w:rsidRDefault="00AF36FB" w:rsidP="00A909E6">
            <w:pPr>
              <w:ind w:firstLine="225"/>
              <w:rPr>
                <w:color w:val="000000"/>
                <w:sz w:val="24"/>
                <w:szCs w:val="24"/>
              </w:rPr>
            </w:pPr>
            <w:r w:rsidRPr="00253DB6">
              <w:rPr>
                <w:color w:val="000000"/>
                <w:sz w:val="24"/>
                <w:szCs w:val="24"/>
              </w:rPr>
              <w:t>Мы используем сильную сторону “Владение полным циклом производства”, чтобы снизить угрозу сокращения доли рынка из-за конкурентов</w:t>
            </w:r>
          </w:p>
        </w:tc>
      </w:tr>
    </w:tbl>
    <w:p w:rsidR="00AF36FB" w:rsidRPr="0089230F" w:rsidRDefault="00AF36FB" w:rsidP="00A909E6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6FB" w:rsidRPr="0089230F" w:rsidRDefault="00AF36FB" w:rsidP="00A909E6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6FB" w:rsidRPr="0089230F" w:rsidRDefault="00AF36FB" w:rsidP="00A909E6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6FB" w:rsidRDefault="00AF36FB" w:rsidP="00A909E6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9E6" w:rsidRDefault="00A909E6" w:rsidP="00A909E6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9E6" w:rsidRDefault="00A909E6" w:rsidP="00A909E6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9E6" w:rsidRPr="00E34EFB" w:rsidRDefault="00A909E6" w:rsidP="00A909E6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EFB" w:rsidRPr="0089230F" w:rsidRDefault="00E34EFB" w:rsidP="00A909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53DB6" w:rsidRPr="0089230F" w:rsidRDefault="00253DB6" w:rsidP="00A909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34EFB" w:rsidRPr="0089230F" w:rsidRDefault="00E34EFB" w:rsidP="00A909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34EFB" w:rsidRPr="0089230F" w:rsidRDefault="00A909E6" w:rsidP="00A90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val="en-US" w:eastAsia="ru-RU"/>
        </w:rPr>
        <w:t>SWOT</w:t>
      </w:r>
      <w:r w:rsidR="00E34EFB" w:rsidRPr="0089230F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-анализ </w:t>
      </w:r>
      <w:r w:rsidR="00AF36FB" w:rsidRPr="0089230F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–</w:t>
      </w:r>
      <w:r w:rsidR="00E34EFB" w:rsidRPr="0089230F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</w:t>
      </w:r>
      <w:r w:rsidR="00AF36FB" w:rsidRPr="0089230F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предприятия</w:t>
      </w:r>
    </w:p>
    <w:p w:rsidR="00AF36FB" w:rsidRPr="00E34EFB" w:rsidRDefault="00AF36FB" w:rsidP="00A90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tbl>
      <w:tblPr>
        <w:tblW w:w="93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5"/>
        <w:gridCol w:w="4129"/>
        <w:gridCol w:w="3599"/>
      </w:tblGrid>
      <w:tr w:rsidR="00AF36FB" w:rsidRPr="0089230F" w:rsidTr="00E34EFB">
        <w:trPr>
          <w:trHeight w:val="27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EFB" w:rsidRPr="00E34EFB" w:rsidRDefault="00E34EFB" w:rsidP="00A90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EFB" w:rsidRPr="00E34EFB" w:rsidRDefault="00E34EFB" w:rsidP="00A9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89230F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Положительные факторы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EFB" w:rsidRPr="00E34EFB" w:rsidRDefault="00E34EFB" w:rsidP="00A9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89230F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Негативные факторы</w:t>
            </w:r>
          </w:p>
        </w:tc>
      </w:tr>
      <w:tr w:rsidR="00AF36FB" w:rsidRPr="0089230F" w:rsidTr="00E34EFB">
        <w:trPr>
          <w:trHeight w:val="51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EFB" w:rsidRPr="00E34EFB" w:rsidRDefault="00E34EFB" w:rsidP="00A90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EFB" w:rsidRPr="00E34EFB" w:rsidRDefault="00E34EFB" w:rsidP="00A9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89230F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Сильные стороны (внутренний потенциал) (</w:t>
            </w:r>
            <w:r w:rsidRPr="0089230F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val="en-US" w:eastAsia="ru-RU"/>
              </w:rPr>
              <w:t>S</w:t>
            </w:r>
            <w:r w:rsidRPr="0089230F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EFB" w:rsidRPr="00E34EFB" w:rsidRDefault="00E34EFB" w:rsidP="00A9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89230F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Слабые стороны (внутренние недостатки) (</w:t>
            </w:r>
            <w:r w:rsidRPr="0089230F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val="en-US" w:eastAsia="ru-RU"/>
              </w:rPr>
              <w:t>W</w:t>
            </w:r>
            <w:r w:rsidRPr="0089230F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)</w:t>
            </w:r>
          </w:p>
        </w:tc>
      </w:tr>
      <w:tr w:rsidR="00AF36FB" w:rsidRPr="0089230F" w:rsidTr="00E34EFB">
        <w:trPr>
          <w:trHeight w:val="36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EFB" w:rsidRPr="00E34EFB" w:rsidRDefault="00E34EFB" w:rsidP="00A9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89230F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Внутренняя среда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EFB" w:rsidRPr="00E34EFB" w:rsidRDefault="00E34EFB" w:rsidP="00A9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E34E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1) Известность бренда.</w:t>
            </w:r>
          </w:p>
          <w:p w:rsidR="00E34EFB" w:rsidRPr="00E34EFB" w:rsidRDefault="00E34EFB" w:rsidP="00A9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E34E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2) Опыт работы компании на рынке России больше 10 лет.</w:t>
            </w:r>
          </w:p>
          <w:p w:rsidR="00E34EFB" w:rsidRPr="00E34EFB" w:rsidRDefault="00E34EFB" w:rsidP="00A9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E34E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3) Используемая система обучения новых работников.</w:t>
            </w:r>
          </w:p>
          <w:p w:rsidR="00E34EFB" w:rsidRPr="00E34EFB" w:rsidRDefault="00E34EFB" w:rsidP="00A9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E34E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4) Традиции сервиса высокого качества и гостеприимства.</w:t>
            </w:r>
          </w:p>
          <w:p w:rsidR="00E34EFB" w:rsidRPr="00E34EFB" w:rsidRDefault="00E34EFB" w:rsidP="00A9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E34E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5) Установившиеся партнерские отношения с поставщиками, поставляющими товар на выгодных для компании условиях.</w:t>
            </w:r>
          </w:p>
          <w:p w:rsidR="00E34EFB" w:rsidRPr="00E34EFB" w:rsidRDefault="00E34EFB" w:rsidP="00A9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E34E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6) Широкий ассортимент продукции.</w:t>
            </w:r>
          </w:p>
          <w:p w:rsidR="00E34EFB" w:rsidRPr="00E34EFB" w:rsidRDefault="00E34EFB" w:rsidP="00A9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E34E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7) Удобное положение магазинов.</w:t>
            </w:r>
          </w:p>
          <w:p w:rsidR="00E34EFB" w:rsidRPr="00E34EFB" w:rsidRDefault="00E34EFB" w:rsidP="00A9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E34E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8) Бонусные программы.</w:t>
            </w:r>
          </w:p>
          <w:p w:rsidR="00E34EFB" w:rsidRPr="00E34EFB" w:rsidRDefault="00E34EFB" w:rsidP="00A9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E34E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9) Скидки и дисконтные карты.</w:t>
            </w:r>
          </w:p>
          <w:p w:rsidR="00E34EFB" w:rsidRPr="00E34EFB" w:rsidRDefault="00E34EFB" w:rsidP="00A9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E34E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10) Большие объёмы продаж.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EFB" w:rsidRPr="00E34EFB" w:rsidRDefault="00E34EFB" w:rsidP="00A9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E34E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1) Жесткая конкуренция.</w:t>
            </w:r>
          </w:p>
          <w:p w:rsidR="00E34EFB" w:rsidRPr="00E34EFB" w:rsidRDefault="00E34EFB" w:rsidP="00A9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E34E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2) Нехватка опытных управленцев.</w:t>
            </w:r>
          </w:p>
          <w:p w:rsidR="00E34EFB" w:rsidRPr="00E34EFB" w:rsidRDefault="00E34EFB" w:rsidP="00A9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E34E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3) Нехватка коммуникаций, отсутствие постоянного информирования работников о результатах их труда, недостаточная обратная связь.</w:t>
            </w:r>
          </w:p>
          <w:p w:rsidR="00E34EFB" w:rsidRPr="00E34EFB" w:rsidRDefault="00E34EFB" w:rsidP="00A9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E34E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4) текучесть кадров.</w:t>
            </w:r>
          </w:p>
        </w:tc>
      </w:tr>
      <w:tr w:rsidR="00AF36FB" w:rsidRPr="0089230F" w:rsidTr="00E34EFB">
        <w:trPr>
          <w:trHeight w:val="27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EFB" w:rsidRPr="00E34EFB" w:rsidRDefault="00E34EFB" w:rsidP="00A90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EFB" w:rsidRPr="00E34EFB" w:rsidRDefault="00E34EFB" w:rsidP="00A9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89230F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Потенциальные возможности</w:t>
            </w:r>
            <w:r w:rsidRPr="0089230F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val="en-US" w:eastAsia="ru-RU"/>
              </w:rPr>
              <w:t> (O)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EFB" w:rsidRPr="00E34EFB" w:rsidRDefault="00E34EFB" w:rsidP="00A9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89230F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Имеющиеся угрозы (</w:t>
            </w:r>
            <w:r w:rsidRPr="0089230F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val="en-US" w:eastAsia="ru-RU"/>
              </w:rPr>
              <w:t>T)</w:t>
            </w:r>
          </w:p>
        </w:tc>
      </w:tr>
      <w:tr w:rsidR="00AF36FB" w:rsidRPr="0089230F" w:rsidTr="00E34EFB">
        <w:trPr>
          <w:trHeight w:val="419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EFB" w:rsidRPr="00E34EFB" w:rsidRDefault="00E34EFB" w:rsidP="00A9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89230F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Внешняя среда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EFB" w:rsidRPr="00E34EFB" w:rsidRDefault="00E34EFB" w:rsidP="00A9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E34E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1) Ненасыщенный рынок России дает практически ничем неограниченные возможности для роста.</w:t>
            </w:r>
          </w:p>
          <w:p w:rsidR="00E34EFB" w:rsidRPr="00E34EFB" w:rsidRDefault="00E34EFB" w:rsidP="00A9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E34E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2) Освоение регионального рынка.</w:t>
            </w:r>
          </w:p>
          <w:p w:rsidR="00E34EFB" w:rsidRPr="00E34EFB" w:rsidRDefault="00E34EFB" w:rsidP="00A9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E34E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3) Привлечение новых клиентов.</w:t>
            </w:r>
          </w:p>
          <w:p w:rsidR="00E34EFB" w:rsidRPr="00E34EFB" w:rsidRDefault="00E34EFB" w:rsidP="00A9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E34E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4) Расширение услуг.</w:t>
            </w:r>
          </w:p>
          <w:p w:rsidR="00E34EFB" w:rsidRPr="00E34EFB" w:rsidRDefault="00E34EFB" w:rsidP="00A9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E34E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5) Возможность найма высококвалифицированных и опытных кадров.</w:t>
            </w:r>
          </w:p>
          <w:p w:rsidR="00E34EFB" w:rsidRPr="00E34EFB" w:rsidRDefault="00E34EFB" w:rsidP="00A9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E34E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6) Тенденция отрасли к увеличению размеров супермаркетов и вытеснению небольших торговых точек.</w:t>
            </w:r>
          </w:p>
          <w:p w:rsidR="00E34EFB" w:rsidRPr="00E34EFB" w:rsidRDefault="00E34EFB" w:rsidP="00A9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E34E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7) </w:t>
            </w:r>
            <w:r w:rsidR="00AF36FB" w:rsidRPr="0089230F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Предприятие </w:t>
            </w:r>
            <w:r w:rsidRPr="00E34E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сможет экспортировать товары под собственными брендами из Российской Федерации в свои магазины стран ближнего зарубежья.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EFB" w:rsidRPr="00E34EFB" w:rsidRDefault="00E34EFB" w:rsidP="00A9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E34E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1) Предпочтение многими людьми</w:t>
            </w:r>
            <w:r w:rsidR="00AF36FB" w:rsidRPr="0089230F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E34E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«магазинов у дома».</w:t>
            </w:r>
          </w:p>
          <w:p w:rsidR="00E34EFB" w:rsidRPr="00E34EFB" w:rsidRDefault="00E34EFB" w:rsidP="00A9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E34E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2) Невысокие доходы населения в регионах.</w:t>
            </w:r>
          </w:p>
          <w:p w:rsidR="00E34EFB" w:rsidRPr="00E34EFB" w:rsidRDefault="00E34EFB" w:rsidP="00A9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E34E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3) Минимальные барьеры входа новых фирм на рынок.</w:t>
            </w:r>
          </w:p>
          <w:p w:rsidR="00E34EFB" w:rsidRPr="00E34EFB" w:rsidRDefault="00E34EFB" w:rsidP="00A9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E34E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4) Большая подверженность изменениям в законодательстве стран.</w:t>
            </w:r>
          </w:p>
          <w:p w:rsidR="00E34EFB" w:rsidRPr="00E34EFB" w:rsidRDefault="00E34EFB" w:rsidP="00A9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E34E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5) Усиление позиций компаний-конкурентов.</w:t>
            </w:r>
          </w:p>
        </w:tc>
      </w:tr>
    </w:tbl>
    <w:p w:rsidR="00E34EFB" w:rsidRPr="0089230F" w:rsidRDefault="00E34EFB" w:rsidP="00A909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34EFB" w:rsidRPr="0089230F" w:rsidRDefault="00E34EFB" w:rsidP="00A909E6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191919"/>
        </w:rPr>
      </w:pPr>
      <w:r w:rsidRPr="0089230F">
        <w:rPr>
          <w:color w:val="191919"/>
        </w:rPr>
        <w:t xml:space="preserve">Как мы выяснили в ходе проведенного СВОТ-анализа, </w:t>
      </w:r>
      <w:r w:rsidR="00AF36FB" w:rsidRPr="0089230F">
        <w:rPr>
          <w:color w:val="191919"/>
        </w:rPr>
        <w:t xml:space="preserve">предприятию </w:t>
      </w:r>
      <w:r w:rsidRPr="0089230F">
        <w:rPr>
          <w:color w:val="191919"/>
        </w:rPr>
        <w:t>характерен некий баланс сильных и слабых сторон (сильных и слабых параметров, характерных компании), а также возможностей и угроз. Т.е. компания существует в достаточно стабильных условиях</w:t>
      </w:r>
      <w:r w:rsidR="00AF36FB" w:rsidRPr="0089230F">
        <w:rPr>
          <w:color w:val="191919"/>
        </w:rPr>
        <w:t>.</w:t>
      </w:r>
    </w:p>
    <w:p w:rsidR="00AF36FB" w:rsidRPr="0089230F" w:rsidRDefault="00AF36FB" w:rsidP="00A909E6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191919"/>
        </w:rPr>
      </w:pPr>
    </w:p>
    <w:p w:rsidR="00AF36FB" w:rsidRPr="0089230F" w:rsidRDefault="00AF36FB" w:rsidP="00A909E6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191919"/>
        </w:rPr>
      </w:pPr>
    </w:p>
    <w:p w:rsidR="00AF36FB" w:rsidRPr="0089230F" w:rsidRDefault="00AF36FB" w:rsidP="00A909E6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191919"/>
        </w:rPr>
      </w:pPr>
    </w:p>
    <w:p w:rsidR="00E34EFB" w:rsidRDefault="00E34EFB" w:rsidP="00A909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909E6" w:rsidRDefault="00A909E6" w:rsidP="00A909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909E6" w:rsidRDefault="00A909E6" w:rsidP="00A909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909E6" w:rsidRDefault="00A909E6" w:rsidP="00A909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909E6" w:rsidRPr="0089230F" w:rsidRDefault="00A909E6" w:rsidP="00A909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790D" w:rsidRPr="00A909E6" w:rsidRDefault="00A3790D" w:rsidP="00A909E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909E6">
        <w:rPr>
          <w:rFonts w:ascii="Times New Roman" w:hAnsi="Times New Roman" w:cs="Times New Roman"/>
          <w:b/>
          <w:sz w:val="24"/>
          <w:szCs w:val="24"/>
        </w:rPr>
        <w:t xml:space="preserve">Классификация факторов модели </w:t>
      </w:r>
      <w:proofErr w:type="spellStart"/>
      <w:r w:rsidRPr="00A909E6">
        <w:rPr>
          <w:rFonts w:ascii="Times New Roman" w:hAnsi="Times New Roman" w:cs="Times New Roman"/>
          <w:b/>
          <w:sz w:val="24"/>
          <w:szCs w:val="24"/>
        </w:rPr>
        <w:t>Маккинси</w:t>
      </w:r>
      <w:proofErr w:type="spellEnd"/>
      <w:r w:rsidRPr="00A909E6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A909E6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</w:p>
    <w:p w:rsidR="00A909E6" w:rsidRPr="0089230F" w:rsidRDefault="00A909E6" w:rsidP="00A909E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243" w:type="dxa"/>
        <w:tblInd w:w="108" w:type="dxa"/>
        <w:tblLook w:val="01E0" w:firstRow="1" w:lastRow="1" w:firstColumn="1" w:lastColumn="1" w:noHBand="0" w:noVBand="0"/>
      </w:tblPr>
      <w:tblGrid>
        <w:gridCol w:w="4927"/>
        <w:gridCol w:w="4316"/>
      </w:tblGrid>
      <w:tr w:rsidR="00A3790D" w:rsidRPr="0089230F" w:rsidTr="00A909E6">
        <w:tc>
          <w:tcPr>
            <w:tcW w:w="4927" w:type="dxa"/>
          </w:tcPr>
          <w:p w:rsidR="00A3790D" w:rsidRPr="0089230F" w:rsidRDefault="00A3790D" w:rsidP="00A909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230F">
              <w:rPr>
                <w:bCs/>
                <w:sz w:val="24"/>
                <w:szCs w:val="24"/>
              </w:rPr>
              <w:t>3 «твердых» (</w:t>
            </w:r>
            <w:proofErr w:type="spellStart"/>
            <w:r w:rsidRPr="0089230F">
              <w:rPr>
                <w:bCs/>
                <w:sz w:val="24"/>
                <w:szCs w:val="24"/>
              </w:rPr>
              <w:t>легкоформализуемых</w:t>
            </w:r>
            <w:proofErr w:type="spellEnd"/>
            <w:r w:rsidRPr="0089230F">
              <w:rPr>
                <w:bCs/>
                <w:sz w:val="24"/>
                <w:szCs w:val="24"/>
              </w:rPr>
              <w:t xml:space="preserve">) </w:t>
            </w:r>
            <w:r w:rsidRPr="0089230F">
              <w:rPr>
                <w:sz w:val="24"/>
                <w:szCs w:val="24"/>
              </w:rPr>
              <w:t>«</w:t>
            </w:r>
            <w:r w:rsidRPr="0089230F">
              <w:rPr>
                <w:sz w:val="24"/>
                <w:szCs w:val="24"/>
                <w:lang w:val="en-US"/>
              </w:rPr>
              <w:t>S</w:t>
            </w:r>
            <w:r w:rsidRPr="0089230F">
              <w:rPr>
                <w:sz w:val="24"/>
                <w:szCs w:val="24"/>
              </w:rPr>
              <w:t>»</w:t>
            </w:r>
          </w:p>
        </w:tc>
        <w:tc>
          <w:tcPr>
            <w:tcW w:w="4316" w:type="dxa"/>
          </w:tcPr>
          <w:p w:rsidR="00A3790D" w:rsidRPr="0089230F" w:rsidRDefault="00A3790D" w:rsidP="00A909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230F">
              <w:rPr>
                <w:bCs/>
                <w:sz w:val="24"/>
                <w:szCs w:val="24"/>
              </w:rPr>
              <w:t xml:space="preserve">4 «мягких» </w:t>
            </w:r>
            <w:r w:rsidRPr="0089230F">
              <w:rPr>
                <w:sz w:val="24"/>
                <w:szCs w:val="24"/>
              </w:rPr>
              <w:t>(</w:t>
            </w:r>
            <w:proofErr w:type="spellStart"/>
            <w:r w:rsidRPr="0089230F">
              <w:rPr>
                <w:sz w:val="24"/>
                <w:szCs w:val="24"/>
              </w:rPr>
              <w:t>трудноформализуемых</w:t>
            </w:r>
            <w:proofErr w:type="spellEnd"/>
            <w:r w:rsidRPr="0089230F">
              <w:rPr>
                <w:sz w:val="24"/>
                <w:szCs w:val="24"/>
              </w:rPr>
              <w:t>) «</w:t>
            </w:r>
            <w:r w:rsidRPr="0089230F">
              <w:rPr>
                <w:sz w:val="24"/>
                <w:szCs w:val="24"/>
                <w:lang w:val="en-US"/>
              </w:rPr>
              <w:t>S</w:t>
            </w:r>
            <w:r w:rsidRPr="0089230F">
              <w:rPr>
                <w:sz w:val="24"/>
                <w:szCs w:val="24"/>
              </w:rPr>
              <w:t>»</w:t>
            </w:r>
          </w:p>
        </w:tc>
      </w:tr>
      <w:tr w:rsidR="00A3790D" w:rsidRPr="0089230F" w:rsidTr="00A909E6">
        <w:tc>
          <w:tcPr>
            <w:tcW w:w="4927" w:type="dxa"/>
          </w:tcPr>
          <w:p w:rsidR="00A3790D" w:rsidRPr="0089230F" w:rsidRDefault="00A3790D" w:rsidP="00A909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89230F">
              <w:rPr>
                <w:sz w:val="24"/>
                <w:szCs w:val="24"/>
              </w:rPr>
              <w:t>1 .</w:t>
            </w:r>
            <w:r w:rsidRPr="0089230F">
              <w:rPr>
                <w:sz w:val="24"/>
                <w:szCs w:val="24"/>
                <w:lang w:val="en-US"/>
              </w:rPr>
              <w:t>Staff</w:t>
            </w:r>
            <w:proofErr w:type="gramEnd"/>
            <w:r w:rsidRPr="0089230F">
              <w:rPr>
                <w:sz w:val="24"/>
                <w:szCs w:val="24"/>
              </w:rPr>
              <w:t xml:space="preserve"> (Штат)</w:t>
            </w:r>
          </w:p>
        </w:tc>
        <w:tc>
          <w:tcPr>
            <w:tcW w:w="4316" w:type="dxa"/>
          </w:tcPr>
          <w:p w:rsidR="00A3790D" w:rsidRPr="0089230F" w:rsidRDefault="00A3790D" w:rsidP="00A909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89230F">
              <w:rPr>
                <w:sz w:val="24"/>
                <w:szCs w:val="24"/>
              </w:rPr>
              <w:t>1 .</w:t>
            </w:r>
            <w:r w:rsidRPr="0089230F">
              <w:rPr>
                <w:sz w:val="24"/>
                <w:szCs w:val="24"/>
                <w:lang w:val="en-US"/>
              </w:rPr>
              <w:t>Strategy</w:t>
            </w:r>
            <w:proofErr w:type="gramEnd"/>
            <w:r w:rsidRPr="0089230F">
              <w:rPr>
                <w:sz w:val="24"/>
                <w:szCs w:val="24"/>
              </w:rPr>
              <w:t xml:space="preserve"> (Стратегия)</w:t>
            </w:r>
          </w:p>
        </w:tc>
      </w:tr>
      <w:tr w:rsidR="00A3790D" w:rsidRPr="0089230F" w:rsidTr="00A909E6">
        <w:tc>
          <w:tcPr>
            <w:tcW w:w="4927" w:type="dxa"/>
          </w:tcPr>
          <w:p w:rsidR="00A3790D" w:rsidRPr="0089230F" w:rsidRDefault="00A3790D" w:rsidP="00A909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230F">
              <w:rPr>
                <w:sz w:val="24"/>
                <w:szCs w:val="24"/>
              </w:rPr>
              <w:t xml:space="preserve">2. </w:t>
            </w:r>
            <w:r w:rsidRPr="0089230F">
              <w:rPr>
                <w:sz w:val="24"/>
                <w:szCs w:val="24"/>
                <w:lang w:val="en-US"/>
              </w:rPr>
              <w:t>Skills</w:t>
            </w:r>
            <w:r w:rsidRPr="0089230F">
              <w:rPr>
                <w:sz w:val="24"/>
                <w:szCs w:val="24"/>
              </w:rPr>
              <w:t xml:space="preserve"> (Способности, нав</w:t>
            </w:r>
            <w:r w:rsidRPr="0089230F">
              <w:rPr>
                <w:sz w:val="24"/>
                <w:szCs w:val="24"/>
              </w:rPr>
              <w:t>ы</w:t>
            </w:r>
            <w:r w:rsidRPr="0089230F">
              <w:rPr>
                <w:sz w:val="24"/>
                <w:szCs w:val="24"/>
              </w:rPr>
              <w:t>ки)</w:t>
            </w:r>
          </w:p>
        </w:tc>
        <w:tc>
          <w:tcPr>
            <w:tcW w:w="4316" w:type="dxa"/>
          </w:tcPr>
          <w:p w:rsidR="00A3790D" w:rsidRPr="0089230F" w:rsidRDefault="00A3790D" w:rsidP="00A909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230F">
              <w:rPr>
                <w:sz w:val="24"/>
                <w:szCs w:val="24"/>
              </w:rPr>
              <w:t>2.</w:t>
            </w:r>
            <w:r w:rsidRPr="0089230F">
              <w:rPr>
                <w:sz w:val="24"/>
                <w:szCs w:val="24"/>
                <w:lang w:val="en-US"/>
              </w:rPr>
              <w:t>Structure</w:t>
            </w:r>
            <w:r w:rsidRPr="0089230F">
              <w:rPr>
                <w:sz w:val="24"/>
                <w:szCs w:val="24"/>
              </w:rPr>
              <w:t xml:space="preserve"> (Структура)</w:t>
            </w:r>
          </w:p>
        </w:tc>
      </w:tr>
      <w:tr w:rsidR="00A3790D" w:rsidRPr="0089230F" w:rsidTr="00A909E6">
        <w:tc>
          <w:tcPr>
            <w:tcW w:w="4927" w:type="dxa"/>
          </w:tcPr>
          <w:p w:rsidR="00A3790D" w:rsidRPr="0089230F" w:rsidRDefault="00A3790D" w:rsidP="00A909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230F">
              <w:rPr>
                <w:sz w:val="24"/>
                <w:szCs w:val="24"/>
              </w:rPr>
              <w:t xml:space="preserve">3. </w:t>
            </w:r>
            <w:r w:rsidRPr="0089230F">
              <w:rPr>
                <w:sz w:val="24"/>
                <w:szCs w:val="24"/>
                <w:lang w:val="en-US"/>
              </w:rPr>
              <w:t>Styles</w:t>
            </w:r>
            <w:r w:rsidRPr="0089230F">
              <w:rPr>
                <w:sz w:val="24"/>
                <w:szCs w:val="24"/>
              </w:rPr>
              <w:t xml:space="preserve"> (Стили управления)</w:t>
            </w:r>
          </w:p>
        </w:tc>
        <w:tc>
          <w:tcPr>
            <w:tcW w:w="4316" w:type="dxa"/>
          </w:tcPr>
          <w:p w:rsidR="00A3790D" w:rsidRPr="0089230F" w:rsidRDefault="00A3790D" w:rsidP="00A909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230F">
              <w:rPr>
                <w:sz w:val="24"/>
                <w:szCs w:val="24"/>
              </w:rPr>
              <w:t>3.</w:t>
            </w:r>
            <w:r w:rsidRPr="0089230F">
              <w:rPr>
                <w:sz w:val="24"/>
                <w:szCs w:val="24"/>
                <w:lang w:val="en-US"/>
              </w:rPr>
              <w:t>Systems</w:t>
            </w:r>
            <w:r w:rsidRPr="0089230F">
              <w:rPr>
                <w:sz w:val="24"/>
                <w:szCs w:val="24"/>
              </w:rPr>
              <w:t xml:space="preserve"> (Системы и процедуры)</w:t>
            </w:r>
          </w:p>
        </w:tc>
      </w:tr>
      <w:tr w:rsidR="00A3790D" w:rsidRPr="0089230F" w:rsidTr="00A909E6">
        <w:tc>
          <w:tcPr>
            <w:tcW w:w="4927" w:type="dxa"/>
          </w:tcPr>
          <w:p w:rsidR="00A3790D" w:rsidRPr="0089230F" w:rsidRDefault="00A3790D" w:rsidP="00A909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16" w:type="dxa"/>
          </w:tcPr>
          <w:p w:rsidR="00A3790D" w:rsidRPr="0089230F" w:rsidRDefault="00A3790D" w:rsidP="00A909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230F">
              <w:rPr>
                <w:sz w:val="24"/>
                <w:szCs w:val="24"/>
              </w:rPr>
              <w:t xml:space="preserve">4. </w:t>
            </w:r>
            <w:r w:rsidRPr="0089230F">
              <w:rPr>
                <w:sz w:val="24"/>
                <w:szCs w:val="24"/>
                <w:lang w:val="en-US"/>
              </w:rPr>
              <w:t>Shared</w:t>
            </w:r>
            <w:r w:rsidRPr="0089230F">
              <w:rPr>
                <w:sz w:val="24"/>
                <w:szCs w:val="24"/>
              </w:rPr>
              <w:t xml:space="preserve"> </w:t>
            </w:r>
            <w:r w:rsidRPr="0089230F">
              <w:rPr>
                <w:sz w:val="24"/>
                <w:szCs w:val="24"/>
                <w:lang w:val="en-US"/>
              </w:rPr>
              <w:t>values</w:t>
            </w:r>
            <w:r w:rsidRPr="0089230F">
              <w:rPr>
                <w:sz w:val="24"/>
                <w:szCs w:val="24"/>
              </w:rPr>
              <w:t xml:space="preserve"> (Совместные ценн</w:t>
            </w:r>
            <w:r w:rsidRPr="0089230F">
              <w:rPr>
                <w:sz w:val="24"/>
                <w:szCs w:val="24"/>
              </w:rPr>
              <w:t>о</w:t>
            </w:r>
            <w:r w:rsidRPr="0089230F">
              <w:rPr>
                <w:sz w:val="24"/>
                <w:szCs w:val="24"/>
              </w:rPr>
              <w:t>сти)</w:t>
            </w:r>
          </w:p>
        </w:tc>
      </w:tr>
    </w:tbl>
    <w:p w:rsidR="00A3790D" w:rsidRPr="00A909E6" w:rsidRDefault="00A3790D" w:rsidP="00A909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9230F">
        <w:rPr>
          <w:rFonts w:ascii="Times New Roman" w:hAnsi="Times New Roman" w:cs="Times New Roman"/>
          <w:spacing w:val="-1"/>
          <w:sz w:val="24"/>
          <w:szCs w:val="24"/>
        </w:rPr>
        <w:t xml:space="preserve">Рассмотрим основные элементы </w:t>
      </w:r>
      <w:r w:rsidRPr="0089230F">
        <w:rPr>
          <w:rFonts w:ascii="Times New Roman" w:hAnsi="Times New Roman" w:cs="Times New Roman"/>
          <w:sz w:val="24"/>
          <w:szCs w:val="24"/>
        </w:rPr>
        <w:t xml:space="preserve">модели </w:t>
      </w:r>
      <w:proofErr w:type="spellStart"/>
      <w:r w:rsidRPr="0089230F">
        <w:rPr>
          <w:rFonts w:ascii="Times New Roman" w:hAnsi="Times New Roman" w:cs="Times New Roman"/>
          <w:sz w:val="24"/>
          <w:szCs w:val="24"/>
        </w:rPr>
        <w:t>Маккинси</w:t>
      </w:r>
      <w:proofErr w:type="spellEnd"/>
      <w:r w:rsidRPr="0089230F">
        <w:rPr>
          <w:rFonts w:ascii="Times New Roman" w:hAnsi="Times New Roman" w:cs="Times New Roman"/>
          <w:sz w:val="24"/>
          <w:szCs w:val="24"/>
        </w:rPr>
        <w:t xml:space="preserve"> 7</w:t>
      </w:r>
      <w:r w:rsidRPr="0089230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9230F">
        <w:rPr>
          <w:rFonts w:ascii="Times New Roman" w:hAnsi="Times New Roman" w:cs="Times New Roman"/>
          <w:sz w:val="24"/>
          <w:szCs w:val="24"/>
        </w:rPr>
        <w:t xml:space="preserve"> для </w:t>
      </w:r>
      <w:r w:rsidR="00A909E6">
        <w:rPr>
          <w:rFonts w:ascii="Times New Roman" w:hAnsi="Times New Roman" w:cs="Times New Roman"/>
          <w:sz w:val="24"/>
          <w:szCs w:val="24"/>
        </w:rPr>
        <w:t>предприятия:</w:t>
      </w:r>
    </w:p>
    <w:p w:rsidR="00A3790D" w:rsidRPr="0089230F" w:rsidRDefault="00A3790D" w:rsidP="00A909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9230F">
        <w:rPr>
          <w:rFonts w:ascii="Times New Roman" w:hAnsi="Times New Roman" w:cs="Times New Roman"/>
          <w:spacing w:val="-1"/>
          <w:sz w:val="24"/>
          <w:szCs w:val="24"/>
        </w:rPr>
        <w:t>1) Оценка существующей миссии организации.</w:t>
      </w:r>
    </w:p>
    <w:p w:rsidR="00A3790D" w:rsidRPr="0089230F" w:rsidRDefault="00AF36FB" w:rsidP="00A909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9230F">
        <w:rPr>
          <w:rFonts w:ascii="Times New Roman" w:hAnsi="Times New Roman" w:cs="Times New Roman"/>
          <w:sz w:val="24"/>
          <w:szCs w:val="24"/>
        </w:rPr>
        <w:t>Миссия предприятия</w:t>
      </w:r>
      <w:r w:rsidR="00A3790D" w:rsidRPr="0089230F">
        <w:rPr>
          <w:rFonts w:ascii="Times New Roman" w:hAnsi="Times New Roman" w:cs="Times New Roman"/>
          <w:sz w:val="24"/>
          <w:szCs w:val="24"/>
        </w:rPr>
        <w:t xml:space="preserve"> звучит следующим образом: «Быть лу</w:t>
      </w:r>
      <w:r w:rsidR="00A3790D" w:rsidRPr="0089230F">
        <w:rPr>
          <w:rFonts w:ascii="Times New Roman" w:hAnsi="Times New Roman" w:cs="Times New Roman"/>
          <w:sz w:val="24"/>
          <w:szCs w:val="24"/>
        </w:rPr>
        <w:t>ч</w:t>
      </w:r>
      <w:r w:rsidR="00A3790D" w:rsidRPr="0089230F">
        <w:rPr>
          <w:rFonts w:ascii="Times New Roman" w:hAnsi="Times New Roman" w:cs="Times New Roman"/>
          <w:sz w:val="24"/>
          <w:szCs w:val="24"/>
        </w:rPr>
        <w:t>шими поставщиками крахма</w:t>
      </w:r>
      <w:r w:rsidRPr="0089230F">
        <w:rPr>
          <w:rFonts w:ascii="Times New Roman" w:hAnsi="Times New Roman" w:cs="Times New Roman"/>
          <w:sz w:val="24"/>
          <w:szCs w:val="24"/>
        </w:rPr>
        <w:t>ла на рынке Москвы</w:t>
      </w:r>
      <w:r w:rsidR="00A3790D" w:rsidRPr="0089230F">
        <w:rPr>
          <w:rFonts w:ascii="Times New Roman" w:hAnsi="Times New Roman" w:cs="Times New Roman"/>
          <w:sz w:val="24"/>
          <w:szCs w:val="24"/>
        </w:rPr>
        <w:t>. Эта миссия сформ</w:t>
      </w:r>
      <w:r w:rsidR="00A3790D" w:rsidRPr="0089230F">
        <w:rPr>
          <w:rFonts w:ascii="Times New Roman" w:hAnsi="Times New Roman" w:cs="Times New Roman"/>
          <w:sz w:val="24"/>
          <w:szCs w:val="24"/>
        </w:rPr>
        <w:t>у</w:t>
      </w:r>
      <w:r w:rsidR="00A3790D" w:rsidRPr="0089230F">
        <w:rPr>
          <w:rFonts w:ascii="Times New Roman" w:hAnsi="Times New Roman" w:cs="Times New Roman"/>
          <w:sz w:val="24"/>
          <w:szCs w:val="24"/>
        </w:rPr>
        <w:t xml:space="preserve">лирована достаточно узко и не дает возможности фирме развиваться по другим направлениям. Поэтому миссию нужно пересмотреть, расширив сферу деятельности и оставив акцент на лидирующем положении. </w:t>
      </w:r>
      <w:r w:rsidR="00A3790D" w:rsidRPr="0089230F">
        <w:rPr>
          <w:rFonts w:ascii="Times New Roman" w:hAnsi="Times New Roman" w:cs="Times New Roman"/>
          <w:spacing w:val="-4"/>
          <w:sz w:val="24"/>
          <w:szCs w:val="24"/>
        </w:rPr>
        <w:t>Миссия может включать следующее:</w:t>
      </w:r>
    </w:p>
    <w:p w:rsidR="00A3790D" w:rsidRPr="0089230F" w:rsidRDefault="00A3790D" w:rsidP="00A909E6">
      <w:pPr>
        <w:widowControl w:val="0"/>
        <w:numPr>
          <w:ilvl w:val="0"/>
          <w:numId w:val="2"/>
        </w:numPr>
        <w:shd w:val="clear" w:color="auto" w:fill="FFFFFF"/>
        <w:tabs>
          <w:tab w:val="clear" w:pos="1428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30F">
        <w:rPr>
          <w:rFonts w:ascii="Times New Roman" w:hAnsi="Times New Roman" w:cs="Times New Roman"/>
          <w:sz w:val="24"/>
          <w:szCs w:val="24"/>
        </w:rPr>
        <w:t>Провозглашение убеждений и ценностей.</w:t>
      </w:r>
    </w:p>
    <w:p w:rsidR="00A3790D" w:rsidRPr="0089230F" w:rsidRDefault="00A3790D" w:rsidP="00A909E6">
      <w:pPr>
        <w:widowControl w:val="0"/>
        <w:numPr>
          <w:ilvl w:val="0"/>
          <w:numId w:val="2"/>
        </w:numPr>
        <w:shd w:val="clear" w:color="auto" w:fill="FFFFFF"/>
        <w:tabs>
          <w:tab w:val="clear" w:pos="1428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30F">
        <w:rPr>
          <w:rFonts w:ascii="Times New Roman" w:hAnsi="Times New Roman" w:cs="Times New Roman"/>
          <w:sz w:val="24"/>
          <w:szCs w:val="24"/>
        </w:rPr>
        <w:t>Виды продукции или услуги, которые предприятие будет продавать (или потребности клиентов, которые предприятие будет удовлетв</w:t>
      </w:r>
      <w:r w:rsidRPr="0089230F">
        <w:rPr>
          <w:rFonts w:ascii="Times New Roman" w:hAnsi="Times New Roman" w:cs="Times New Roman"/>
          <w:sz w:val="24"/>
          <w:szCs w:val="24"/>
        </w:rPr>
        <w:t>о</w:t>
      </w:r>
      <w:r w:rsidRPr="0089230F">
        <w:rPr>
          <w:rFonts w:ascii="Times New Roman" w:hAnsi="Times New Roman" w:cs="Times New Roman"/>
          <w:sz w:val="24"/>
          <w:szCs w:val="24"/>
        </w:rPr>
        <w:t>рять).</w:t>
      </w:r>
    </w:p>
    <w:p w:rsidR="00A3790D" w:rsidRPr="0089230F" w:rsidRDefault="00A3790D" w:rsidP="00A909E6">
      <w:pPr>
        <w:widowControl w:val="0"/>
        <w:numPr>
          <w:ilvl w:val="0"/>
          <w:numId w:val="2"/>
        </w:numPr>
        <w:shd w:val="clear" w:color="auto" w:fill="FFFFFF"/>
        <w:tabs>
          <w:tab w:val="clear" w:pos="1428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30F">
        <w:rPr>
          <w:rFonts w:ascii="Times New Roman" w:hAnsi="Times New Roman" w:cs="Times New Roman"/>
          <w:sz w:val="24"/>
          <w:szCs w:val="24"/>
        </w:rPr>
        <w:t>Рынки, на которых будет работать предприятие:</w:t>
      </w:r>
    </w:p>
    <w:p w:rsidR="00A3790D" w:rsidRPr="0089230F" w:rsidRDefault="00A3790D" w:rsidP="00A909E6">
      <w:pPr>
        <w:widowControl w:val="0"/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30F">
        <w:rPr>
          <w:rFonts w:ascii="Times New Roman" w:hAnsi="Times New Roman" w:cs="Times New Roman"/>
          <w:sz w:val="24"/>
          <w:szCs w:val="24"/>
        </w:rPr>
        <w:t>способы выхода на рынок;</w:t>
      </w:r>
    </w:p>
    <w:p w:rsidR="00A3790D" w:rsidRPr="0089230F" w:rsidRDefault="00A3790D" w:rsidP="00A909E6">
      <w:pPr>
        <w:widowControl w:val="0"/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30F">
        <w:rPr>
          <w:rFonts w:ascii="Times New Roman" w:hAnsi="Times New Roman" w:cs="Times New Roman"/>
          <w:sz w:val="24"/>
          <w:szCs w:val="24"/>
        </w:rPr>
        <w:t>технологии, которые будет использовать предприятие;</w:t>
      </w:r>
    </w:p>
    <w:p w:rsidR="00A3790D" w:rsidRPr="0089230F" w:rsidRDefault="00A3790D" w:rsidP="00A909E6">
      <w:pPr>
        <w:widowControl w:val="0"/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30F">
        <w:rPr>
          <w:rFonts w:ascii="Times New Roman" w:hAnsi="Times New Roman" w:cs="Times New Roman"/>
          <w:sz w:val="24"/>
          <w:szCs w:val="24"/>
        </w:rPr>
        <w:t>политика роста и финансирования.</w:t>
      </w:r>
    </w:p>
    <w:p w:rsidR="00A3790D" w:rsidRPr="0089230F" w:rsidRDefault="00A3790D" w:rsidP="00A909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30F">
        <w:rPr>
          <w:rFonts w:ascii="Times New Roman" w:hAnsi="Times New Roman" w:cs="Times New Roman"/>
          <w:sz w:val="24"/>
          <w:szCs w:val="24"/>
        </w:rPr>
        <w:t>Четко сформулированная миссия вдохновляет и побуждает к действию, дает возможность сотрудникам предприятия проявлять инициативу, форм</w:t>
      </w:r>
      <w:r w:rsidRPr="0089230F">
        <w:rPr>
          <w:rFonts w:ascii="Times New Roman" w:hAnsi="Times New Roman" w:cs="Times New Roman"/>
          <w:sz w:val="24"/>
          <w:szCs w:val="24"/>
        </w:rPr>
        <w:t>и</w:t>
      </w:r>
      <w:r w:rsidRPr="0089230F">
        <w:rPr>
          <w:rFonts w:ascii="Times New Roman" w:hAnsi="Times New Roman" w:cs="Times New Roman"/>
          <w:sz w:val="24"/>
          <w:szCs w:val="24"/>
        </w:rPr>
        <w:t>рует главные предпосылки успеха деятельности предприятия при различных возде</w:t>
      </w:r>
      <w:r w:rsidRPr="0089230F">
        <w:rPr>
          <w:rFonts w:ascii="Times New Roman" w:hAnsi="Times New Roman" w:cs="Times New Roman"/>
          <w:sz w:val="24"/>
          <w:szCs w:val="24"/>
        </w:rPr>
        <w:t>й</w:t>
      </w:r>
      <w:r w:rsidRPr="0089230F">
        <w:rPr>
          <w:rFonts w:ascii="Times New Roman" w:hAnsi="Times New Roman" w:cs="Times New Roman"/>
          <w:sz w:val="24"/>
          <w:szCs w:val="24"/>
        </w:rPr>
        <w:t xml:space="preserve">ствиях на нее со стороны внешней и внутренней среды. </w:t>
      </w:r>
    </w:p>
    <w:p w:rsidR="00A3790D" w:rsidRPr="0089230F" w:rsidRDefault="00A3790D" w:rsidP="00A909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30F">
        <w:rPr>
          <w:rFonts w:ascii="Times New Roman" w:hAnsi="Times New Roman" w:cs="Times New Roman"/>
          <w:sz w:val="24"/>
          <w:szCs w:val="24"/>
        </w:rPr>
        <w:t>С этой точки зрения миссию можно сформулировать так: «Стать лу</w:t>
      </w:r>
      <w:r w:rsidRPr="0089230F">
        <w:rPr>
          <w:rFonts w:ascii="Times New Roman" w:hAnsi="Times New Roman" w:cs="Times New Roman"/>
          <w:sz w:val="24"/>
          <w:szCs w:val="24"/>
        </w:rPr>
        <w:t>ч</w:t>
      </w:r>
      <w:r w:rsidRPr="0089230F">
        <w:rPr>
          <w:rFonts w:ascii="Times New Roman" w:hAnsi="Times New Roman" w:cs="Times New Roman"/>
          <w:sz w:val="24"/>
          <w:szCs w:val="24"/>
        </w:rPr>
        <w:t xml:space="preserve">шей компанией оптового рынка пищевых добавок в </w:t>
      </w:r>
      <w:r w:rsidR="00AF36FB" w:rsidRPr="0089230F">
        <w:rPr>
          <w:rFonts w:ascii="Times New Roman" w:hAnsi="Times New Roman" w:cs="Times New Roman"/>
          <w:sz w:val="24"/>
          <w:szCs w:val="24"/>
        </w:rPr>
        <w:t>ЦФО</w:t>
      </w:r>
      <w:r w:rsidRPr="0089230F">
        <w:rPr>
          <w:rFonts w:ascii="Times New Roman" w:hAnsi="Times New Roman" w:cs="Times New Roman"/>
          <w:sz w:val="24"/>
          <w:szCs w:val="24"/>
        </w:rPr>
        <w:t>».</w:t>
      </w:r>
    </w:p>
    <w:p w:rsidR="00A3790D" w:rsidRPr="0089230F" w:rsidRDefault="00A3790D" w:rsidP="00A909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30F">
        <w:rPr>
          <w:rFonts w:ascii="Times New Roman" w:hAnsi="Times New Roman" w:cs="Times New Roman"/>
          <w:sz w:val="24"/>
          <w:szCs w:val="24"/>
        </w:rPr>
        <w:t>2) После уточнения миссии идет процесс корректировки системы целей (желаемых результатов, которые способствуют выходу из экономического кризиса). Менеджер сравнивает желаемые результаты и результаты исслед</w:t>
      </w:r>
      <w:r w:rsidRPr="0089230F">
        <w:rPr>
          <w:rFonts w:ascii="Times New Roman" w:hAnsi="Times New Roman" w:cs="Times New Roman"/>
          <w:sz w:val="24"/>
          <w:szCs w:val="24"/>
        </w:rPr>
        <w:t>о</w:t>
      </w:r>
      <w:r w:rsidRPr="0089230F">
        <w:rPr>
          <w:rFonts w:ascii="Times New Roman" w:hAnsi="Times New Roman" w:cs="Times New Roman"/>
          <w:sz w:val="24"/>
          <w:szCs w:val="24"/>
        </w:rPr>
        <w:t>ваний факторов внешней и внутренней среды, которые ограничивают дост</w:t>
      </w:r>
      <w:r w:rsidRPr="0089230F">
        <w:rPr>
          <w:rFonts w:ascii="Times New Roman" w:hAnsi="Times New Roman" w:cs="Times New Roman"/>
          <w:sz w:val="24"/>
          <w:szCs w:val="24"/>
        </w:rPr>
        <w:t>и</w:t>
      </w:r>
      <w:r w:rsidRPr="0089230F">
        <w:rPr>
          <w:rFonts w:ascii="Times New Roman" w:hAnsi="Times New Roman" w:cs="Times New Roman"/>
          <w:sz w:val="24"/>
          <w:szCs w:val="24"/>
        </w:rPr>
        <w:t>жение желаемых результатов, и вносит изм</w:t>
      </w:r>
      <w:r w:rsidRPr="0089230F">
        <w:rPr>
          <w:rFonts w:ascii="Times New Roman" w:hAnsi="Times New Roman" w:cs="Times New Roman"/>
          <w:sz w:val="24"/>
          <w:szCs w:val="24"/>
        </w:rPr>
        <w:t>е</w:t>
      </w:r>
      <w:r w:rsidRPr="0089230F">
        <w:rPr>
          <w:rFonts w:ascii="Times New Roman" w:hAnsi="Times New Roman" w:cs="Times New Roman"/>
          <w:sz w:val="24"/>
          <w:szCs w:val="24"/>
        </w:rPr>
        <w:t>нения в систему целей.</w:t>
      </w:r>
    </w:p>
    <w:p w:rsidR="00A3790D" w:rsidRPr="0089230F" w:rsidRDefault="00A3790D" w:rsidP="00A909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30F">
        <w:rPr>
          <w:rFonts w:ascii="Times New Roman" w:hAnsi="Times New Roman" w:cs="Times New Roman"/>
          <w:sz w:val="24"/>
          <w:szCs w:val="24"/>
        </w:rPr>
        <w:t>Каждое предприятие имеет определенную систему целей. Они возн</w:t>
      </w:r>
      <w:r w:rsidRPr="0089230F">
        <w:rPr>
          <w:rFonts w:ascii="Times New Roman" w:hAnsi="Times New Roman" w:cs="Times New Roman"/>
          <w:sz w:val="24"/>
          <w:szCs w:val="24"/>
        </w:rPr>
        <w:t>и</w:t>
      </w:r>
      <w:r w:rsidRPr="0089230F">
        <w:rPr>
          <w:rFonts w:ascii="Times New Roman" w:hAnsi="Times New Roman" w:cs="Times New Roman"/>
          <w:sz w:val="24"/>
          <w:szCs w:val="24"/>
        </w:rPr>
        <w:t>кают как отражение целей различных групп:</w:t>
      </w:r>
    </w:p>
    <w:p w:rsidR="00A3790D" w:rsidRPr="0089230F" w:rsidRDefault="00A3790D" w:rsidP="00A909E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30F">
        <w:rPr>
          <w:rFonts w:ascii="Times New Roman" w:hAnsi="Times New Roman" w:cs="Times New Roman"/>
          <w:sz w:val="24"/>
          <w:szCs w:val="24"/>
        </w:rPr>
        <w:t>собственников предприятия;</w:t>
      </w:r>
    </w:p>
    <w:p w:rsidR="00A3790D" w:rsidRPr="0089230F" w:rsidRDefault="00A3790D" w:rsidP="00A909E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30F">
        <w:rPr>
          <w:rFonts w:ascii="Times New Roman" w:hAnsi="Times New Roman" w:cs="Times New Roman"/>
          <w:sz w:val="24"/>
          <w:szCs w:val="24"/>
        </w:rPr>
        <w:t>сотрудников предприятия;</w:t>
      </w:r>
    </w:p>
    <w:p w:rsidR="00A3790D" w:rsidRPr="0089230F" w:rsidRDefault="00A3790D" w:rsidP="00A909E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30F">
        <w:rPr>
          <w:rFonts w:ascii="Times New Roman" w:hAnsi="Times New Roman" w:cs="Times New Roman"/>
          <w:sz w:val="24"/>
          <w:szCs w:val="24"/>
        </w:rPr>
        <w:t>покупателей;</w:t>
      </w:r>
    </w:p>
    <w:p w:rsidR="00A3790D" w:rsidRPr="0089230F" w:rsidRDefault="00A3790D" w:rsidP="00A909E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30F">
        <w:rPr>
          <w:rFonts w:ascii="Times New Roman" w:hAnsi="Times New Roman" w:cs="Times New Roman"/>
          <w:sz w:val="24"/>
          <w:szCs w:val="24"/>
        </w:rPr>
        <w:t>деловых партнеров,</w:t>
      </w:r>
    </w:p>
    <w:p w:rsidR="00A3790D" w:rsidRPr="0089230F" w:rsidRDefault="00A3790D" w:rsidP="00A909E6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30F">
        <w:rPr>
          <w:rFonts w:ascii="Times New Roman" w:hAnsi="Times New Roman" w:cs="Times New Roman"/>
          <w:sz w:val="24"/>
          <w:szCs w:val="24"/>
        </w:rPr>
        <w:t>общества в целом.</w:t>
      </w:r>
    </w:p>
    <w:p w:rsidR="00A3790D" w:rsidRPr="0089230F" w:rsidRDefault="00A3790D" w:rsidP="00A909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9230F">
        <w:rPr>
          <w:rFonts w:ascii="Times New Roman" w:hAnsi="Times New Roman" w:cs="Times New Roman"/>
          <w:spacing w:val="-1"/>
          <w:sz w:val="24"/>
          <w:szCs w:val="24"/>
        </w:rPr>
        <w:t>Если миссия — это видение того, каким должно быть предприятие в будущем, то система целей (долгосрочные и краткосрочные цели) — жела</w:t>
      </w:r>
      <w:r w:rsidRPr="008923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9230F">
        <w:rPr>
          <w:rFonts w:ascii="Times New Roman" w:hAnsi="Times New Roman" w:cs="Times New Roman"/>
          <w:spacing w:val="-1"/>
          <w:sz w:val="24"/>
          <w:szCs w:val="24"/>
        </w:rPr>
        <w:t>мые резул</w:t>
      </w:r>
      <w:r w:rsidRPr="0089230F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89230F">
        <w:rPr>
          <w:rFonts w:ascii="Times New Roman" w:hAnsi="Times New Roman" w:cs="Times New Roman"/>
          <w:spacing w:val="-1"/>
          <w:sz w:val="24"/>
          <w:szCs w:val="24"/>
        </w:rPr>
        <w:t>таты, соответствующие пониманию цели.</w:t>
      </w:r>
    </w:p>
    <w:p w:rsidR="00A3790D" w:rsidRPr="0089230F" w:rsidRDefault="00A3790D" w:rsidP="00A909E6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9230F">
        <w:rPr>
          <w:rFonts w:ascii="Times New Roman" w:hAnsi="Times New Roman" w:cs="Times New Roman"/>
          <w:spacing w:val="-1"/>
          <w:sz w:val="24"/>
          <w:szCs w:val="24"/>
        </w:rPr>
        <w:t>Цели являются исходным пунктом систем стратегического планиров</w:t>
      </w:r>
      <w:r w:rsidRPr="0089230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9230F">
        <w:rPr>
          <w:rFonts w:ascii="Times New Roman" w:hAnsi="Times New Roman" w:cs="Times New Roman"/>
          <w:spacing w:val="-1"/>
          <w:sz w:val="24"/>
          <w:szCs w:val="24"/>
        </w:rPr>
        <w:t>ния, мотивации и контроля, используемых на предприятии. Цели лежат в о</w:t>
      </w:r>
      <w:r w:rsidRPr="0089230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89230F">
        <w:rPr>
          <w:rFonts w:ascii="Times New Roman" w:hAnsi="Times New Roman" w:cs="Times New Roman"/>
          <w:spacing w:val="-1"/>
          <w:sz w:val="24"/>
          <w:szCs w:val="24"/>
        </w:rPr>
        <w:t>нове организационных отношений и оценки результатов труда отдельных р</w:t>
      </w:r>
      <w:r w:rsidRPr="0089230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9230F">
        <w:rPr>
          <w:rFonts w:ascii="Times New Roman" w:hAnsi="Times New Roman" w:cs="Times New Roman"/>
          <w:spacing w:val="-1"/>
          <w:sz w:val="24"/>
          <w:szCs w:val="24"/>
        </w:rPr>
        <w:t>ботников, подразделений и организации в целом. В любой организации им</w:t>
      </w:r>
      <w:r w:rsidRPr="0089230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9230F">
        <w:rPr>
          <w:rFonts w:ascii="Times New Roman" w:hAnsi="Times New Roman" w:cs="Times New Roman"/>
          <w:spacing w:val="-1"/>
          <w:sz w:val="24"/>
          <w:szCs w:val="24"/>
        </w:rPr>
        <w:t>ется несколько уро</w:t>
      </w:r>
      <w:r w:rsidRPr="0089230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89230F">
        <w:rPr>
          <w:rFonts w:ascii="Times New Roman" w:hAnsi="Times New Roman" w:cs="Times New Roman"/>
          <w:spacing w:val="-1"/>
          <w:sz w:val="24"/>
          <w:szCs w:val="24"/>
        </w:rPr>
        <w:t xml:space="preserve">ней целей, таким образом, </w:t>
      </w:r>
      <w:r w:rsidR="00253DB6" w:rsidRPr="0089230F">
        <w:rPr>
          <w:rFonts w:ascii="Times New Roman" w:hAnsi="Times New Roman" w:cs="Times New Roman"/>
          <w:spacing w:val="-1"/>
          <w:sz w:val="24"/>
          <w:szCs w:val="24"/>
        </w:rPr>
        <w:t>складывается иерархия целей</w:t>
      </w:r>
      <w:r w:rsidRPr="0089230F">
        <w:rPr>
          <w:rFonts w:ascii="Times New Roman" w:hAnsi="Times New Roman" w:cs="Times New Roman"/>
          <w:spacing w:val="-1"/>
          <w:sz w:val="24"/>
          <w:szCs w:val="24"/>
        </w:rPr>
        <w:t>. Цели более высокого уровня ориентированы на долгосрочную перспе</w:t>
      </w:r>
      <w:r w:rsidRPr="0089230F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89230F">
        <w:rPr>
          <w:rFonts w:ascii="Times New Roman" w:hAnsi="Times New Roman" w:cs="Times New Roman"/>
          <w:spacing w:val="-1"/>
          <w:sz w:val="24"/>
          <w:szCs w:val="24"/>
        </w:rPr>
        <w:t>тиву. Они п</w:t>
      </w:r>
      <w:r w:rsidRPr="0089230F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89230F">
        <w:rPr>
          <w:rFonts w:ascii="Times New Roman" w:hAnsi="Times New Roman" w:cs="Times New Roman"/>
          <w:spacing w:val="-1"/>
          <w:sz w:val="24"/>
          <w:szCs w:val="24"/>
        </w:rPr>
        <w:t>зволяют менеджерам взвешивать влияние сегодняшних решений на долгосрочные пок</w:t>
      </w:r>
      <w:r w:rsidRPr="0089230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9230F">
        <w:rPr>
          <w:rFonts w:ascii="Times New Roman" w:hAnsi="Times New Roman" w:cs="Times New Roman"/>
          <w:spacing w:val="-1"/>
          <w:sz w:val="24"/>
          <w:szCs w:val="24"/>
        </w:rPr>
        <w:t>затели. Цели более низкого уровня ориентированы на краткосрочную и среднесрочную перспективу и являются средством дост</w:t>
      </w:r>
      <w:r w:rsidRPr="0089230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89230F">
        <w:rPr>
          <w:rFonts w:ascii="Times New Roman" w:hAnsi="Times New Roman" w:cs="Times New Roman"/>
          <w:spacing w:val="-1"/>
          <w:sz w:val="24"/>
          <w:szCs w:val="24"/>
        </w:rPr>
        <w:t xml:space="preserve">жения целей </w:t>
      </w:r>
      <w:r w:rsidRPr="0089230F">
        <w:rPr>
          <w:rFonts w:ascii="Times New Roman" w:hAnsi="Times New Roman" w:cs="Times New Roman"/>
          <w:spacing w:val="-1"/>
          <w:sz w:val="24"/>
          <w:szCs w:val="24"/>
        </w:rPr>
        <w:lastRenderedPageBreak/>
        <w:t>высокого уровня. Краткосрочные цели определяют скорость ра</w:t>
      </w:r>
      <w:r w:rsidRPr="0089230F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89230F">
        <w:rPr>
          <w:rFonts w:ascii="Times New Roman" w:hAnsi="Times New Roman" w:cs="Times New Roman"/>
          <w:spacing w:val="-1"/>
          <w:sz w:val="24"/>
          <w:szCs w:val="24"/>
        </w:rPr>
        <w:t>вития компании, уровень показателей деятельности и результаты, которые нужно достичь в ближайшем б</w:t>
      </w:r>
      <w:r w:rsidRPr="0089230F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89230F">
        <w:rPr>
          <w:rFonts w:ascii="Times New Roman" w:hAnsi="Times New Roman" w:cs="Times New Roman"/>
          <w:spacing w:val="-1"/>
          <w:sz w:val="24"/>
          <w:szCs w:val="24"/>
        </w:rPr>
        <w:t>дущем.</w:t>
      </w:r>
    </w:p>
    <w:p w:rsidR="00A3790D" w:rsidRPr="0089230F" w:rsidRDefault="00A3790D" w:rsidP="00A909E6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30F">
        <w:rPr>
          <w:rFonts w:ascii="Times New Roman" w:hAnsi="Times New Roman" w:cs="Times New Roman"/>
          <w:spacing w:val="-1"/>
          <w:sz w:val="24"/>
          <w:szCs w:val="24"/>
        </w:rPr>
        <w:t>Очень часто на российских предприятиях менеджеры сосредоточивают свое внимание на краткосрочных финансовых целях, пренебрегая долгосро</w:t>
      </w:r>
      <w:r w:rsidRPr="0089230F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89230F">
        <w:rPr>
          <w:rFonts w:ascii="Times New Roman" w:hAnsi="Times New Roman" w:cs="Times New Roman"/>
          <w:spacing w:val="-1"/>
          <w:sz w:val="24"/>
          <w:szCs w:val="24"/>
        </w:rPr>
        <w:t xml:space="preserve">ными. </w:t>
      </w:r>
      <w:r w:rsidRPr="0089230F">
        <w:rPr>
          <w:rFonts w:ascii="Times New Roman" w:hAnsi="Times New Roman" w:cs="Times New Roman"/>
          <w:sz w:val="24"/>
          <w:szCs w:val="24"/>
        </w:rPr>
        <w:t xml:space="preserve">Таким образом, наиболее подходящей для </w:t>
      </w:r>
      <w:r w:rsidR="00AF36FB" w:rsidRPr="0089230F">
        <w:rPr>
          <w:rFonts w:ascii="Times New Roman" w:hAnsi="Times New Roman" w:cs="Times New Roman"/>
          <w:sz w:val="24"/>
          <w:szCs w:val="24"/>
        </w:rPr>
        <w:t>предприятия</w:t>
      </w:r>
      <w:r w:rsidRPr="0089230F">
        <w:rPr>
          <w:rFonts w:ascii="Times New Roman" w:hAnsi="Times New Roman" w:cs="Times New Roman"/>
          <w:sz w:val="24"/>
          <w:szCs w:val="24"/>
        </w:rPr>
        <w:t xml:space="preserve"> являе</w:t>
      </w:r>
      <w:r w:rsidRPr="0089230F">
        <w:rPr>
          <w:rFonts w:ascii="Times New Roman" w:hAnsi="Times New Roman" w:cs="Times New Roman"/>
          <w:sz w:val="24"/>
          <w:szCs w:val="24"/>
        </w:rPr>
        <w:t>т</w:t>
      </w:r>
      <w:r w:rsidRPr="0089230F">
        <w:rPr>
          <w:rFonts w:ascii="Times New Roman" w:hAnsi="Times New Roman" w:cs="Times New Roman"/>
          <w:sz w:val="24"/>
          <w:szCs w:val="24"/>
        </w:rPr>
        <w:t xml:space="preserve">ся методология предвидения изменений для </w:t>
      </w:r>
      <w:proofErr w:type="gramStart"/>
      <w:r w:rsidRPr="0089230F">
        <w:rPr>
          <w:rFonts w:ascii="Times New Roman" w:hAnsi="Times New Roman" w:cs="Times New Roman"/>
          <w:sz w:val="24"/>
          <w:szCs w:val="24"/>
        </w:rPr>
        <w:t>сохранения  лидерства</w:t>
      </w:r>
      <w:proofErr w:type="gramEnd"/>
      <w:r w:rsidRPr="0089230F">
        <w:rPr>
          <w:rFonts w:ascii="Times New Roman" w:hAnsi="Times New Roman" w:cs="Times New Roman"/>
          <w:sz w:val="24"/>
          <w:szCs w:val="24"/>
        </w:rPr>
        <w:t xml:space="preserve"> на о</w:t>
      </w:r>
      <w:r w:rsidRPr="0089230F">
        <w:rPr>
          <w:rFonts w:ascii="Times New Roman" w:hAnsi="Times New Roman" w:cs="Times New Roman"/>
          <w:sz w:val="24"/>
          <w:szCs w:val="24"/>
        </w:rPr>
        <w:t>с</w:t>
      </w:r>
      <w:r w:rsidRPr="0089230F">
        <w:rPr>
          <w:rFonts w:ascii="Times New Roman" w:hAnsi="Times New Roman" w:cs="Times New Roman"/>
          <w:sz w:val="24"/>
          <w:szCs w:val="24"/>
        </w:rPr>
        <w:t>нове стержневых компетенций в процессах долгосрочного планирования и учета внешних факторов. Предполагается развитие нового направления деятельн</w:t>
      </w:r>
      <w:r w:rsidRPr="0089230F">
        <w:rPr>
          <w:rFonts w:ascii="Times New Roman" w:hAnsi="Times New Roman" w:cs="Times New Roman"/>
          <w:sz w:val="24"/>
          <w:szCs w:val="24"/>
        </w:rPr>
        <w:t>о</w:t>
      </w:r>
      <w:r w:rsidRPr="0089230F">
        <w:rPr>
          <w:rFonts w:ascii="Times New Roman" w:hAnsi="Times New Roman" w:cs="Times New Roman"/>
          <w:sz w:val="24"/>
          <w:szCs w:val="24"/>
        </w:rPr>
        <w:t>сти, для чего была сформулирована новая миссия компании.</w:t>
      </w:r>
    </w:p>
    <w:p w:rsidR="00A3790D" w:rsidRPr="0089230F" w:rsidRDefault="00A3790D" w:rsidP="00A909E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9230F">
        <w:rPr>
          <w:rFonts w:ascii="Times New Roman" w:hAnsi="Times New Roman" w:cs="Times New Roman"/>
          <w:sz w:val="24"/>
          <w:szCs w:val="24"/>
        </w:rPr>
        <w:t xml:space="preserve">Для разработки эффективного проекта изменений стратегии развития компании </w:t>
      </w:r>
      <w:r w:rsidR="00AF36FB" w:rsidRPr="0089230F">
        <w:rPr>
          <w:rFonts w:ascii="Times New Roman" w:hAnsi="Times New Roman" w:cs="Times New Roman"/>
          <w:sz w:val="24"/>
          <w:szCs w:val="24"/>
        </w:rPr>
        <w:t>предприятия</w:t>
      </w:r>
      <w:r w:rsidRPr="0089230F">
        <w:rPr>
          <w:rFonts w:ascii="Times New Roman" w:hAnsi="Times New Roman" w:cs="Times New Roman"/>
          <w:sz w:val="24"/>
          <w:szCs w:val="24"/>
        </w:rPr>
        <w:t xml:space="preserve"> необходимо провести анализ ее внешней ср</w:t>
      </w:r>
      <w:r w:rsidRPr="0089230F">
        <w:rPr>
          <w:rFonts w:ascii="Times New Roman" w:hAnsi="Times New Roman" w:cs="Times New Roman"/>
          <w:sz w:val="24"/>
          <w:szCs w:val="24"/>
        </w:rPr>
        <w:t>е</w:t>
      </w:r>
      <w:r w:rsidRPr="0089230F">
        <w:rPr>
          <w:rFonts w:ascii="Times New Roman" w:hAnsi="Times New Roman" w:cs="Times New Roman"/>
          <w:sz w:val="24"/>
          <w:szCs w:val="24"/>
        </w:rPr>
        <w:t>ды.</w:t>
      </w:r>
    </w:p>
    <w:p w:rsidR="00A909E6" w:rsidRDefault="00A909E6" w:rsidP="00A909E6">
      <w:pPr>
        <w:spacing w:after="0" w:line="240" w:lineRule="auto"/>
        <w:ind w:firstLine="70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53DB6" w:rsidRDefault="00253DB6" w:rsidP="00A909E6">
      <w:pPr>
        <w:spacing w:after="0" w:line="240" w:lineRule="auto"/>
        <w:ind w:firstLine="70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909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Pr="00A909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нализ 5 сил по Портеру</w:t>
      </w:r>
    </w:p>
    <w:p w:rsidR="00A909E6" w:rsidRPr="00A909E6" w:rsidRDefault="00A909E6" w:rsidP="00A909E6">
      <w:pPr>
        <w:spacing w:after="0" w:line="24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90D" w:rsidRPr="0089230F" w:rsidRDefault="00A3790D" w:rsidP="00A909E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9230F">
        <w:rPr>
          <w:rFonts w:ascii="Times New Roman" w:hAnsi="Times New Roman" w:cs="Times New Roman"/>
          <w:snapToGrid w:val="0"/>
          <w:sz w:val="24"/>
          <w:szCs w:val="24"/>
        </w:rPr>
        <w:t xml:space="preserve">Первые три направления </w:t>
      </w:r>
      <w:proofErr w:type="spellStart"/>
      <w:r w:rsidRPr="0089230F">
        <w:rPr>
          <w:rFonts w:ascii="Times New Roman" w:hAnsi="Times New Roman" w:cs="Times New Roman"/>
          <w:snapToGrid w:val="0"/>
          <w:sz w:val="24"/>
          <w:szCs w:val="24"/>
        </w:rPr>
        <w:t>М.Портер</w:t>
      </w:r>
      <w:proofErr w:type="spellEnd"/>
      <w:r w:rsidRPr="0089230F">
        <w:rPr>
          <w:rFonts w:ascii="Times New Roman" w:hAnsi="Times New Roman" w:cs="Times New Roman"/>
          <w:snapToGrid w:val="0"/>
          <w:sz w:val="24"/>
          <w:szCs w:val="24"/>
        </w:rPr>
        <w:t xml:space="preserve"> называет базовыми стратегиями, имея в виду их</w:t>
      </w:r>
      <w:r w:rsidR="00253DB6" w:rsidRPr="0089230F">
        <w:rPr>
          <w:rFonts w:ascii="Times New Roman" w:hAnsi="Times New Roman" w:cs="Times New Roman"/>
          <w:snapToGrid w:val="0"/>
          <w:sz w:val="24"/>
          <w:szCs w:val="24"/>
        </w:rPr>
        <w:t xml:space="preserve"> универсальную применимость (Рисунок 1)</w:t>
      </w:r>
      <w:r w:rsidRPr="0089230F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A3790D" w:rsidRDefault="00A3790D" w:rsidP="00A909E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9230F">
        <w:rPr>
          <w:rFonts w:ascii="Times New Roman" w:hAnsi="Times New Roman" w:cs="Times New Roman"/>
          <w:snapToGrid w:val="0"/>
          <w:sz w:val="24"/>
          <w:szCs w:val="24"/>
        </w:rPr>
        <w:t xml:space="preserve">Так как стратегической целью </w:t>
      </w:r>
      <w:r w:rsidR="0089230F" w:rsidRPr="0089230F">
        <w:rPr>
          <w:rFonts w:ascii="Times New Roman" w:hAnsi="Times New Roman" w:cs="Times New Roman"/>
          <w:snapToGrid w:val="0"/>
          <w:sz w:val="24"/>
          <w:szCs w:val="24"/>
        </w:rPr>
        <w:t>предприятия</w:t>
      </w:r>
      <w:r w:rsidRPr="0089230F">
        <w:rPr>
          <w:rFonts w:ascii="Times New Roman" w:hAnsi="Times New Roman" w:cs="Times New Roman"/>
          <w:snapToGrid w:val="0"/>
          <w:sz w:val="24"/>
          <w:szCs w:val="24"/>
        </w:rPr>
        <w:t xml:space="preserve"> является охват всей отрасли, то рассматриваются первая и вторая стратегии: дифференциров</w:t>
      </w:r>
      <w:r w:rsidRPr="0089230F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89230F">
        <w:rPr>
          <w:rFonts w:ascii="Times New Roman" w:hAnsi="Times New Roman" w:cs="Times New Roman"/>
          <w:snapToGrid w:val="0"/>
          <w:sz w:val="24"/>
          <w:szCs w:val="24"/>
        </w:rPr>
        <w:t>ние и лидерство в области затрат.</w:t>
      </w:r>
    </w:p>
    <w:p w:rsidR="00A909E6" w:rsidRPr="0089230F" w:rsidRDefault="00A909E6" w:rsidP="00A909E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1080"/>
        <w:gridCol w:w="3940"/>
        <w:gridCol w:w="3881"/>
      </w:tblGrid>
      <w:tr w:rsidR="00A909E6" w:rsidRPr="0089230F" w:rsidTr="00A909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37" w:type="dxa"/>
            <w:gridSpan w:val="4"/>
          </w:tcPr>
          <w:p w:rsidR="00A909E6" w:rsidRPr="0089230F" w:rsidRDefault="00A909E6" w:rsidP="00A909E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Toc167096092"/>
            <w:bookmarkStart w:id="1" w:name="_Toc193794536"/>
            <w:bookmarkStart w:id="2" w:name="_Toc193794613"/>
            <w:proofErr w:type="gramStart"/>
            <w:r w:rsidRPr="008923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СТРАТЕГИЧЕСКОЕ  ПРЕИМУЩЕСТВО</w:t>
            </w:r>
            <w:bookmarkEnd w:id="0"/>
            <w:bookmarkEnd w:id="1"/>
            <w:bookmarkEnd w:id="2"/>
            <w:proofErr w:type="gramEnd"/>
          </w:p>
        </w:tc>
      </w:tr>
      <w:tr w:rsidR="00A3790D" w:rsidRPr="0089230F" w:rsidTr="00A909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6" w:type="dxa"/>
            <w:gridSpan w:val="2"/>
          </w:tcPr>
          <w:p w:rsidR="00A3790D" w:rsidRPr="0089230F" w:rsidRDefault="00A3790D" w:rsidP="00A90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Align w:val="center"/>
          </w:tcPr>
          <w:p w:rsidR="00A3790D" w:rsidRPr="0089230F" w:rsidRDefault="00A3790D" w:rsidP="00A909E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0F">
              <w:rPr>
                <w:rFonts w:ascii="Times New Roman" w:hAnsi="Times New Roman" w:cs="Times New Roman"/>
                <w:sz w:val="24"/>
                <w:szCs w:val="24"/>
              </w:rPr>
              <w:t>Неповторимость продукта с точки зрения п</w:t>
            </w:r>
            <w:r w:rsidRPr="008923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230F">
              <w:rPr>
                <w:rFonts w:ascii="Times New Roman" w:hAnsi="Times New Roman" w:cs="Times New Roman"/>
                <w:sz w:val="24"/>
                <w:szCs w:val="24"/>
              </w:rPr>
              <w:t>купателя</w:t>
            </w:r>
          </w:p>
        </w:tc>
        <w:tc>
          <w:tcPr>
            <w:tcW w:w="3881" w:type="dxa"/>
            <w:vAlign w:val="center"/>
          </w:tcPr>
          <w:p w:rsidR="00A3790D" w:rsidRPr="0089230F" w:rsidRDefault="00A3790D" w:rsidP="00A909E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0F">
              <w:rPr>
                <w:rFonts w:ascii="Times New Roman" w:hAnsi="Times New Roman" w:cs="Times New Roman"/>
                <w:sz w:val="24"/>
                <w:szCs w:val="24"/>
              </w:rPr>
              <w:t>Преимущества в себестоим</w:t>
            </w:r>
            <w:r w:rsidRPr="008923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230F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A3790D" w:rsidRPr="0089230F" w:rsidTr="00A909E6">
        <w:tblPrEx>
          <w:tblCellMar>
            <w:top w:w="0" w:type="dxa"/>
            <w:bottom w:w="0" w:type="dxa"/>
          </w:tblCellMar>
        </w:tblPrEx>
        <w:trPr>
          <w:cantSplit/>
          <w:trHeight w:val="1772"/>
          <w:jc w:val="center"/>
        </w:trPr>
        <w:tc>
          <w:tcPr>
            <w:tcW w:w="436" w:type="dxa"/>
            <w:vMerge w:val="restart"/>
            <w:textDirection w:val="btLr"/>
          </w:tcPr>
          <w:p w:rsidR="00A3790D" w:rsidRPr="0089230F" w:rsidRDefault="00A3790D" w:rsidP="00A909E6">
            <w:pPr>
              <w:pStyle w:val="2"/>
              <w:rPr>
                <w:rFonts w:cs="Times New Roman"/>
                <w:i/>
                <w:sz w:val="24"/>
                <w:szCs w:val="24"/>
              </w:rPr>
            </w:pPr>
            <w:bookmarkStart w:id="3" w:name="_Toc230744111"/>
            <w:r w:rsidRPr="0089230F">
              <w:rPr>
                <w:rFonts w:cs="Times New Roman"/>
                <w:i/>
                <w:sz w:val="24"/>
                <w:szCs w:val="24"/>
              </w:rPr>
              <w:t>СТРАТЕГИЧЕСКАЯ</w:t>
            </w:r>
            <w:r w:rsidRPr="0089230F">
              <w:rPr>
                <w:rFonts w:cs="Times New Roman"/>
                <w:sz w:val="24"/>
                <w:szCs w:val="24"/>
              </w:rPr>
              <w:t xml:space="preserve"> </w:t>
            </w:r>
            <w:bookmarkStart w:id="4" w:name="_Toc167096093"/>
            <w:bookmarkStart w:id="5" w:name="_Toc193794537"/>
            <w:bookmarkStart w:id="6" w:name="_Toc193794614"/>
            <w:r w:rsidRPr="0089230F">
              <w:rPr>
                <w:rFonts w:cs="Times New Roman"/>
                <w:i/>
                <w:sz w:val="24"/>
                <w:szCs w:val="24"/>
              </w:rPr>
              <w:t>ЦЕЛЬ</w:t>
            </w:r>
            <w:bookmarkEnd w:id="3"/>
            <w:bookmarkEnd w:id="4"/>
            <w:bookmarkEnd w:id="5"/>
            <w:bookmarkEnd w:id="6"/>
          </w:p>
        </w:tc>
        <w:tc>
          <w:tcPr>
            <w:tcW w:w="1080" w:type="dxa"/>
            <w:vAlign w:val="center"/>
          </w:tcPr>
          <w:p w:rsidR="00A3790D" w:rsidRPr="0089230F" w:rsidRDefault="00A3790D" w:rsidP="00A909E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0F">
              <w:rPr>
                <w:rFonts w:ascii="Times New Roman" w:hAnsi="Times New Roman" w:cs="Times New Roman"/>
                <w:sz w:val="24"/>
                <w:szCs w:val="24"/>
              </w:rPr>
              <w:t xml:space="preserve">Вся </w:t>
            </w:r>
            <w:r w:rsidRPr="0089230F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8923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9230F">
              <w:rPr>
                <w:rFonts w:ascii="Times New Roman" w:hAnsi="Times New Roman" w:cs="Times New Roman"/>
                <w:sz w:val="24"/>
                <w:szCs w:val="24"/>
              </w:rPr>
              <w:t>расль</w:t>
            </w:r>
          </w:p>
        </w:tc>
        <w:tc>
          <w:tcPr>
            <w:tcW w:w="3940" w:type="dxa"/>
            <w:vAlign w:val="center"/>
          </w:tcPr>
          <w:p w:rsidR="00A3790D" w:rsidRPr="0089230F" w:rsidRDefault="00A3790D" w:rsidP="00A909E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30F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</w:t>
            </w:r>
            <w:r w:rsidRPr="0089230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9230F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3881" w:type="dxa"/>
            <w:vAlign w:val="center"/>
          </w:tcPr>
          <w:p w:rsidR="00A3790D" w:rsidRPr="0089230F" w:rsidRDefault="00A3790D" w:rsidP="00A90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0F">
              <w:rPr>
                <w:rFonts w:ascii="Times New Roman" w:hAnsi="Times New Roman" w:cs="Times New Roman"/>
                <w:sz w:val="24"/>
                <w:szCs w:val="24"/>
              </w:rPr>
              <w:t>ЛИДЕРСТВО В О</w:t>
            </w:r>
            <w:r w:rsidRPr="008923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9230F">
              <w:rPr>
                <w:rFonts w:ascii="Times New Roman" w:hAnsi="Times New Roman" w:cs="Times New Roman"/>
                <w:sz w:val="24"/>
                <w:szCs w:val="24"/>
              </w:rPr>
              <w:t>ЛАСТИ ЗАТРАТ</w:t>
            </w:r>
          </w:p>
        </w:tc>
      </w:tr>
      <w:tr w:rsidR="00A3790D" w:rsidRPr="0089230F" w:rsidTr="00A909E6">
        <w:tblPrEx>
          <w:tblCellMar>
            <w:top w:w="0" w:type="dxa"/>
            <w:bottom w:w="0" w:type="dxa"/>
          </w:tblCellMar>
        </w:tblPrEx>
        <w:trPr>
          <w:cantSplit/>
          <w:trHeight w:val="1425"/>
          <w:jc w:val="center"/>
        </w:trPr>
        <w:tc>
          <w:tcPr>
            <w:tcW w:w="436" w:type="dxa"/>
            <w:vMerge/>
          </w:tcPr>
          <w:p w:rsidR="00A3790D" w:rsidRPr="0089230F" w:rsidRDefault="00A3790D" w:rsidP="00A90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3790D" w:rsidRPr="0089230F" w:rsidRDefault="00A3790D" w:rsidP="00A909E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0F">
              <w:rPr>
                <w:rFonts w:ascii="Times New Roman" w:hAnsi="Times New Roman" w:cs="Times New Roman"/>
                <w:sz w:val="24"/>
                <w:szCs w:val="24"/>
              </w:rPr>
              <w:t>Один сегмент рынка</w:t>
            </w:r>
          </w:p>
        </w:tc>
        <w:tc>
          <w:tcPr>
            <w:tcW w:w="3940" w:type="dxa"/>
            <w:vAlign w:val="center"/>
          </w:tcPr>
          <w:p w:rsidR="00A3790D" w:rsidRPr="0089230F" w:rsidRDefault="00A3790D" w:rsidP="00A90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РАННИЙ ВЫХОД НА РЫНОК</w:t>
            </w:r>
          </w:p>
        </w:tc>
        <w:tc>
          <w:tcPr>
            <w:tcW w:w="3881" w:type="dxa"/>
            <w:vAlign w:val="center"/>
          </w:tcPr>
          <w:p w:rsidR="00A3790D" w:rsidRPr="0089230F" w:rsidRDefault="00A3790D" w:rsidP="00A90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0F">
              <w:rPr>
                <w:rFonts w:ascii="Times New Roman" w:hAnsi="Times New Roman" w:cs="Times New Roman"/>
                <w:sz w:val="24"/>
                <w:szCs w:val="24"/>
              </w:rPr>
              <w:t>КОНЦЕНТРАЦИЯ НА СЕГМЕНТЕ</w:t>
            </w:r>
          </w:p>
        </w:tc>
      </w:tr>
    </w:tbl>
    <w:p w:rsidR="00A3790D" w:rsidRPr="0089230F" w:rsidRDefault="00A3790D" w:rsidP="00A909E6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89230F">
        <w:rPr>
          <w:rFonts w:ascii="Times New Roman" w:hAnsi="Times New Roman" w:cs="Times New Roman"/>
          <w:snapToGrid w:val="0"/>
          <w:sz w:val="24"/>
          <w:szCs w:val="24"/>
        </w:rPr>
        <w:t xml:space="preserve">Рисунок </w:t>
      </w:r>
      <w:r w:rsidR="0089230F" w:rsidRPr="0089230F">
        <w:rPr>
          <w:rFonts w:ascii="Times New Roman" w:hAnsi="Times New Roman" w:cs="Times New Roman"/>
          <w:snapToGrid w:val="0"/>
          <w:sz w:val="24"/>
          <w:szCs w:val="24"/>
        </w:rPr>
        <w:t>1</w:t>
      </w:r>
      <w:r w:rsidRPr="0089230F">
        <w:rPr>
          <w:rFonts w:ascii="Times New Roman" w:hAnsi="Times New Roman" w:cs="Times New Roman"/>
          <w:snapToGrid w:val="0"/>
          <w:sz w:val="24"/>
          <w:szCs w:val="24"/>
        </w:rPr>
        <w:t xml:space="preserve"> - Матрица Портера</w:t>
      </w:r>
    </w:p>
    <w:p w:rsidR="00A3790D" w:rsidRPr="0089230F" w:rsidRDefault="00A3790D" w:rsidP="00A909E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3790D" w:rsidRPr="0089230F" w:rsidRDefault="00A3790D" w:rsidP="00A909E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9230F">
        <w:rPr>
          <w:rFonts w:ascii="Times New Roman" w:hAnsi="Times New Roman" w:cs="Times New Roman"/>
          <w:snapToGrid w:val="0"/>
          <w:sz w:val="24"/>
          <w:szCs w:val="24"/>
        </w:rPr>
        <w:t xml:space="preserve">На начальном этапе </w:t>
      </w:r>
      <w:r w:rsidR="0089230F" w:rsidRPr="0089230F">
        <w:rPr>
          <w:rFonts w:ascii="Times New Roman" w:hAnsi="Times New Roman" w:cs="Times New Roman"/>
          <w:snapToGrid w:val="0"/>
          <w:sz w:val="24"/>
          <w:szCs w:val="24"/>
        </w:rPr>
        <w:t>предприятию</w:t>
      </w:r>
      <w:r w:rsidRPr="0089230F">
        <w:rPr>
          <w:rFonts w:ascii="Times New Roman" w:hAnsi="Times New Roman" w:cs="Times New Roman"/>
          <w:snapToGrid w:val="0"/>
          <w:sz w:val="24"/>
          <w:szCs w:val="24"/>
        </w:rPr>
        <w:t xml:space="preserve"> трудно будет соперничать со специализированными автотранспортными организациями в минимизации затрат, тем более что проект должен окупиться как можно скорее.</w:t>
      </w:r>
    </w:p>
    <w:p w:rsidR="00A3790D" w:rsidRPr="0089230F" w:rsidRDefault="00A3790D" w:rsidP="00A909E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9230F">
        <w:rPr>
          <w:rFonts w:ascii="Times New Roman" w:hAnsi="Times New Roman" w:cs="Times New Roman"/>
          <w:snapToGrid w:val="0"/>
          <w:sz w:val="24"/>
          <w:szCs w:val="24"/>
        </w:rPr>
        <w:t xml:space="preserve">Поэтому для </w:t>
      </w:r>
      <w:r w:rsidR="008121E6">
        <w:rPr>
          <w:rFonts w:ascii="Times New Roman" w:hAnsi="Times New Roman" w:cs="Times New Roman"/>
          <w:snapToGrid w:val="0"/>
          <w:sz w:val="24"/>
          <w:szCs w:val="24"/>
        </w:rPr>
        <w:t>предприятия</w:t>
      </w:r>
      <w:r w:rsidRPr="0089230F">
        <w:rPr>
          <w:rFonts w:ascii="Times New Roman" w:hAnsi="Times New Roman" w:cs="Times New Roman"/>
          <w:snapToGrid w:val="0"/>
          <w:sz w:val="24"/>
          <w:szCs w:val="24"/>
        </w:rPr>
        <w:t xml:space="preserve"> рекомендуется применение стратегии дифференцирования. Эта стратегия направлена на достижение конкурентных преимуществ за счет дифференцирования стоимости крахмала за счет оказ</w:t>
      </w:r>
      <w:r w:rsidRPr="0089230F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89230F">
        <w:rPr>
          <w:rFonts w:ascii="Times New Roman" w:hAnsi="Times New Roman" w:cs="Times New Roman"/>
          <w:snapToGrid w:val="0"/>
          <w:sz w:val="24"/>
          <w:szCs w:val="24"/>
        </w:rPr>
        <w:t>ния о</w:t>
      </w:r>
      <w:r w:rsidRPr="0089230F">
        <w:rPr>
          <w:rFonts w:ascii="Times New Roman" w:hAnsi="Times New Roman" w:cs="Times New Roman"/>
          <w:snapToGrid w:val="0"/>
          <w:sz w:val="24"/>
          <w:szCs w:val="24"/>
        </w:rPr>
        <w:t>р</w:t>
      </w:r>
      <w:r w:rsidRPr="0089230F">
        <w:rPr>
          <w:rFonts w:ascii="Times New Roman" w:hAnsi="Times New Roman" w:cs="Times New Roman"/>
          <w:snapToGrid w:val="0"/>
          <w:sz w:val="24"/>
          <w:szCs w:val="24"/>
        </w:rPr>
        <w:t xml:space="preserve">ганизациям транспортных услуг. </w:t>
      </w:r>
    </w:p>
    <w:p w:rsidR="00A3790D" w:rsidRPr="0089230F" w:rsidRDefault="00A3790D" w:rsidP="00A909E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9230F">
        <w:rPr>
          <w:rFonts w:ascii="Times New Roman" w:hAnsi="Times New Roman" w:cs="Times New Roman"/>
          <w:snapToGrid w:val="0"/>
          <w:sz w:val="24"/>
          <w:szCs w:val="24"/>
        </w:rPr>
        <w:t xml:space="preserve">Можно сказать, что дифференцирование </w:t>
      </w:r>
      <w:r w:rsidRPr="0089230F">
        <w:rPr>
          <w:rFonts w:ascii="Times New Roman" w:hAnsi="Times New Roman" w:cs="Times New Roman"/>
          <w:snapToGrid w:val="0"/>
          <w:sz w:val="24"/>
          <w:szCs w:val="24"/>
        </w:rPr>
        <w:noBreakHyphen/>
        <w:t xml:space="preserve"> это достаточно агрессивная стратегия, направленная на достижение эффективности производства. </w:t>
      </w:r>
    </w:p>
    <w:p w:rsidR="00A3790D" w:rsidRPr="0089230F" w:rsidRDefault="00A3790D" w:rsidP="00A909E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9230F">
        <w:rPr>
          <w:rFonts w:ascii="Times New Roman" w:hAnsi="Times New Roman" w:cs="Times New Roman"/>
          <w:snapToGrid w:val="0"/>
          <w:sz w:val="24"/>
          <w:szCs w:val="24"/>
        </w:rPr>
        <w:t>Таким образом, чтобы достичь своей стратегической цели (повышения профессионализма персонала и не потерять контроль над рынком, необход</w:t>
      </w:r>
      <w:r w:rsidRPr="0089230F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89230F">
        <w:rPr>
          <w:rFonts w:ascii="Times New Roman" w:hAnsi="Times New Roman" w:cs="Times New Roman"/>
          <w:snapToGrid w:val="0"/>
          <w:sz w:val="24"/>
          <w:szCs w:val="24"/>
        </w:rPr>
        <w:t>мо уделять внимание также экономии на издержках и росту и</w:t>
      </w:r>
      <w:r w:rsidRPr="0089230F">
        <w:rPr>
          <w:rFonts w:ascii="Times New Roman" w:hAnsi="Times New Roman" w:cs="Times New Roman"/>
          <w:snapToGrid w:val="0"/>
          <w:sz w:val="24"/>
          <w:szCs w:val="24"/>
        </w:rPr>
        <w:t>з</w:t>
      </w:r>
      <w:r w:rsidRPr="0089230F">
        <w:rPr>
          <w:rFonts w:ascii="Times New Roman" w:hAnsi="Times New Roman" w:cs="Times New Roman"/>
          <w:snapToGrid w:val="0"/>
          <w:sz w:val="24"/>
          <w:szCs w:val="24"/>
        </w:rPr>
        <w:t xml:space="preserve">вестности фирмы. </w:t>
      </w:r>
    </w:p>
    <w:p w:rsidR="00A3790D" w:rsidRPr="0089230F" w:rsidRDefault="00A3790D" w:rsidP="00A909E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9230F">
        <w:rPr>
          <w:rFonts w:ascii="Times New Roman" w:hAnsi="Times New Roman" w:cs="Times New Roman"/>
          <w:snapToGrid w:val="0"/>
          <w:sz w:val="24"/>
          <w:szCs w:val="24"/>
        </w:rPr>
        <w:t>Выбор стратегии фирмы осуществляется руководством на основе ан</w:t>
      </w:r>
      <w:r w:rsidRPr="0089230F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89230F">
        <w:rPr>
          <w:rFonts w:ascii="Times New Roman" w:hAnsi="Times New Roman" w:cs="Times New Roman"/>
          <w:snapToGrid w:val="0"/>
          <w:sz w:val="24"/>
          <w:szCs w:val="24"/>
        </w:rPr>
        <w:t>лиза ключевых факторов, характеризующих состояние фирмы, с учетом р</w:t>
      </w:r>
      <w:r w:rsidRPr="0089230F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89230F">
        <w:rPr>
          <w:rFonts w:ascii="Times New Roman" w:hAnsi="Times New Roman" w:cs="Times New Roman"/>
          <w:snapToGrid w:val="0"/>
          <w:sz w:val="24"/>
          <w:szCs w:val="24"/>
        </w:rPr>
        <w:t>зультатов анализа портфеля бизнесов, а также характера и сущности реал</w:t>
      </w:r>
      <w:r w:rsidRPr="0089230F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89230F">
        <w:rPr>
          <w:rFonts w:ascii="Times New Roman" w:hAnsi="Times New Roman" w:cs="Times New Roman"/>
          <w:snapToGrid w:val="0"/>
          <w:sz w:val="24"/>
          <w:szCs w:val="24"/>
        </w:rPr>
        <w:t>зуемой продукции. Для уточнения стратегии можно использ</w:t>
      </w:r>
      <w:r w:rsidRPr="0089230F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89230F">
        <w:rPr>
          <w:rFonts w:ascii="Times New Roman" w:hAnsi="Times New Roman" w:cs="Times New Roman"/>
          <w:snapToGrid w:val="0"/>
          <w:sz w:val="24"/>
          <w:szCs w:val="24"/>
        </w:rPr>
        <w:t xml:space="preserve">вать матрицу </w:t>
      </w:r>
      <w:proofErr w:type="spellStart"/>
      <w:r w:rsidRPr="0089230F">
        <w:rPr>
          <w:rFonts w:ascii="Times New Roman" w:hAnsi="Times New Roman" w:cs="Times New Roman"/>
          <w:snapToGrid w:val="0"/>
          <w:sz w:val="24"/>
          <w:szCs w:val="24"/>
        </w:rPr>
        <w:t>Ансоффа</w:t>
      </w:r>
      <w:proofErr w:type="spellEnd"/>
      <w:r w:rsidRPr="0089230F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A3790D" w:rsidRPr="0089230F" w:rsidRDefault="00A3790D" w:rsidP="00A909E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9230F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Матрица Игоря </w:t>
      </w:r>
      <w:proofErr w:type="spellStart"/>
      <w:r w:rsidRPr="0089230F">
        <w:rPr>
          <w:rFonts w:ascii="Times New Roman" w:hAnsi="Times New Roman" w:cs="Times New Roman"/>
          <w:snapToGrid w:val="0"/>
          <w:sz w:val="24"/>
          <w:szCs w:val="24"/>
        </w:rPr>
        <w:t>Ансоффа</w:t>
      </w:r>
      <w:proofErr w:type="spellEnd"/>
      <w:r w:rsidRPr="0089230F">
        <w:rPr>
          <w:rFonts w:ascii="Times New Roman" w:hAnsi="Times New Roman" w:cs="Times New Roman"/>
          <w:snapToGrid w:val="0"/>
          <w:sz w:val="24"/>
          <w:szCs w:val="24"/>
        </w:rPr>
        <w:t xml:space="preserve"> предназначена для описания возможных страт</w:t>
      </w:r>
      <w:r w:rsidRPr="0089230F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89230F">
        <w:rPr>
          <w:rFonts w:ascii="Times New Roman" w:hAnsi="Times New Roman" w:cs="Times New Roman"/>
          <w:snapToGrid w:val="0"/>
          <w:sz w:val="24"/>
          <w:szCs w:val="24"/>
        </w:rPr>
        <w:t>гий предприятия в условиях растущего рынка. По одной оси в матрице ра</w:t>
      </w:r>
      <w:r w:rsidRPr="0089230F">
        <w:rPr>
          <w:rFonts w:ascii="Times New Roman" w:hAnsi="Times New Roman" w:cs="Times New Roman"/>
          <w:snapToGrid w:val="0"/>
          <w:sz w:val="24"/>
          <w:szCs w:val="24"/>
        </w:rPr>
        <w:t>с</w:t>
      </w:r>
      <w:r w:rsidRPr="0089230F">
        <w:rPr>
          <w:rFonts w:ascii="Times New Roman" w:hAnsi="Times New Roman" w:cs="Times New Roman"/>
          <w:snapToGrid w:val="0"/>
          <w:sz w:val="24"/>
          <w:szCs w:val="24"/>
        </w:rPr>
        <w:t xml:space="preserve">сматривается вид товара – старый или новый, по другой оси – вид рынка, также старый или новый. </w:t>
      </w:r>
    </w:p>
    <w:p w:rsidR="00A3790D" w:rsidRPr="0089230F" w:rsidRDefault="00A3790D" w:rsidP="00A909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230F"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Pr="0089230F">
        <w:rPr>
          <w:rFonts w:ascii="Times New Roman" w:hAnsi="Times New Roman" w:cs="Times New Roman"/>
          <w:sz w:val="24"/>
          <w:szCs w:val="24"/>
        </w:rPr>
        <w:t>10</w:t>
      </w:r>
      <w:r w:rsidRPr="008923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230F"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 Матрица </w:t>
      </w:r>
      <w:proofErr w:type="spellStart"/>
      <w:r w:rsidRPr="0089230F">
        <w:rPr>
          <w:rFonts w:ascii="Times New Roman" w:hAnsi="Times New Roman" w:cs="Times New Roman"/>
          <w:color w:val="000000"/>
          <w:sz w:val="24"/>
          <w:szCs w:val="24"/>
        </w:rPr>
        <w:t>Ансоффа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A3790D" w:rsidRPr="0089230F" w:rsidTr="007A19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A3790D" w:rsidRPr="0089230F" w:rsidRDefault="00A3790D" w:rsidP="00A909E6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рынка</w:t>
            </w:r>
          </w:p>
        </w:tc>
        <w:tc>
          <w:tcPr>
            <w:tcW w:w="3190" w:type="dxa"/>
          </w:tcPr>
          <w:p w:rsidR="00A3790D" w:rsidRPr="0089230F" w:rsidRDefault="00A3790D" w:rsidP="00A909E6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рынок</w:t>
            </w:r>
          </w:p>
        </w:tc>
        <w:tc>
          <w:tcPr>
            <w:tcW w:w="3191" w:type="dxa"/>
          </w:tcPr>
          <w:p w:rsidR="00A3790D" w:rsidRPr="0089230F" w:rsidRDefault="00A3790D" w:rsidP="00A909E6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Старый рынок</w:t>
            </w:r>
          </w:p>
        </w:tc>
      </w:tr>
      <w:tr w:rsidR="00A3790D" w:rsidRPr="0089230F" w:rsidTr="007A19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A3790D" w:rsidRPr="0089230F" w:rsidRDefault="00A3790D" w:rsidP="00A909E6">
            <w:pPr>
              <w:spacing w:after="0" w:line="240" w:lineRule="auto"/>
              <w:ind w:firstLine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Старый товар </w:t>
            </w:r>
          </w:p>
        </w:tc>
        <w:tc>
          <w:tcPr>
            <w:tcW w:w="3190" w:type="dxa"/>
          </w:tcPr>
          <w:p w:rsidR="00A3790D" w:rsidRPr="0089230F" w:rsidRDefault="00A3790D" w:rsidP="00A909E6">
            <w:pPr>
              <w:spacing w:after="0" w:line="240" w:lineRule="auto"/>
              <w:ind w:firstLine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деятельности </w:t>
            </w:r>
          </w:p>
        </w:tc>
        <w:tc>
          <w:tcPr>
            <w:tcW w:w="3191" w:type="dxa"/>
          </w:tcPr>
          <w:p w:rsidR="00A3790D" w:rsidRPr="0089230F" w:rsidRDefault="00A3790D" w:rsidP="00A909E6">
            <w:pPr>
              <w:spacing w:after="0" w:line="240" w:lineRule="auto"/>
              <w:ind w:firstLine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Стратегия развития рынка </w:t>
            </w:r>
          </w:p>
        </w:tc>
      </w:tr>
      <w:tr w:rsidR="00A3790D" w:rsidRPr="0089230F" w:rsidTr="007A19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A3790D" w:rsidRPr="0089230F" w:rsidRDefault="00A3790D" w:rsidP="00A909E6">
            <w:pPr>
              <w:spacing w:after="0" w:line="240" w:lineRule="auto"/>
              <w:ind w:firstLine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Новый товар </w:t>
            </w:r>
          </w:p>
        </w:tc>
        <w:tc>
          <w:tcPr>
            <w:tcW w:w="3190" w:type="dxa"/>
          </w:tcPr>
          <w:p w:rsidR="00A3790D" w:rsidRPr="0089230F" w:rsidRDefault="00A3790D" w:rsidP="00A909E6">
            <w:pPr>
              <w:spacing w:after="0" w:line="240" w:lineRule="auto"/>
              <w:ind w:firstLine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Товарная экспа</w:t>
            </w:r>
            <w:r w:rsidRPr="0089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9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сия </w:t>
            </w:r>
          </w:p>
        </w:tc>
        <w:tc>
          <w:tcPr>
            <w:tcW w:w="3191" w:type="dxa"/>
          </w:tcPr>
          <w:p w:rsidR="00A3790D" w:rsidRPr="0089230F" w:rsidRDefault="00A3790D" w:rsidP="00A909E6">
            <w:pPr>
              <w:spacing w:after="0" w:line="240" w:lineRule="auto"/>
              <w:ind w:firstLine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Диверсификация </w:t>
            </w:r>
          </w:p>
        </w:tc>
      </w:tr>
    </w:tbl>
    <w:p w:rsidR="00A3790D" w:rsidRPr="0089230F" w:rsidRDefault="00A3790D" w:rsidP="00A909E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3790D" w:rsidRPr="0089230F" w:rsidRDefault="00A3790D" w:rsidP="00A909E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9230F">
        <w:rPr>
          <w:rFonts w:ascii="Times New Roman" w:hAnsi="Times New Roman" w:cs="Times New Roman"/>
          <w:snapToGrid w:val="0"/>
          <w:sz w:val="24"/>
          <w:szCs w:val="24"/>
        </w:rPr>
        <w:t>Проект по добавлению нового направления бизнеса можно характер</w:t>
      </w:r>
      <w:r w:rsidRPr="0089230F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89230F">
        <w:rPr>
          <w:rFonts w:ascii="Times New Roman" w:hAnsi="Times New Roman" w:cs="Times New Roman"/>
          <w:snapToGrid w:val="0"/>
          <w:sz w:val="24"/>
          <w:szCs w:val="24"/>
        </w:rPr>
        <w:t>зовать как «Новый товар - Старый рынок». Для такой ситуации испол</w:t>
      </w:r>
      <w:r w:rsidRPr="0089230F">
        <w:rPr>
          <w:rFonts w:ascii="Times New Roman" w:hAnsi="Times New Roman" w:cs="Times New Roman"/>
          <w:snapToGrid w:val="0"/>
          <w:sz w:val="24"/>
          <w:szCs w:val="24"/>
        </w:rPr>
        <w:t>ь</w:t>
      </w:r>
      <w:r w:rsidRPr="0089230F">
        <w:rPr>
          <w:rFonts w:ascii="Times New Roman" w:hAnsi="Times New Roman" w:cs="Times New Roman"/>
          <w:snapToGrid w:val="0"/>
          <w:sz w:val="24"/>
          <w:szCs w:val="24"/>
        </w:rPr>
        <w:t>зуется стратегия диверсификации.</w:t>
      </w:r>
    </w:p>
    <w:p w:rsidR="00A3790D" w:rsidRDefault="00A3790D" w:rsidP="00A909E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9230F">
        <w:rPr>
          <w:rFonts w:ascii="Times New Roman" w:hAnsi="Times New Roman" w:cs="Times New Roman"/>
          <w:snapToGrid w:val="0"/>
          <w:sz w:val="24"/>
          <w:szCs w:val="24"/>
        </w:rPr>
        <w:t>Стратегия диверсификации предполагает выход за рамки отрасли, в к</w:t>
      </w:r>
      <w:r w:rsidRPr="0089230F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="0089230F" w:rsidRPr="0089230F">
        <w:rPr>
          <w:rFonts w:ascii="Times New Roman" w:hAnsi="Times New Roman" w:cs="Times New Roman"/>
          <w:snapToGrid w:val="0"/>
          <w:sz w:val="24"/>
          <w:szCs w:val="24"/>
        </w:rPr>
        <w:t>торой работает</w:t>
      </w:r>
      <w:r w:rsidRPr="0089230F">
        <w:rPr>
          <w:rFonts w:ascii="Times New Roman" w:hAnsi="Times New Roman" w:cs="Times New Roman"/>
          <w:snapToGrid w:val="0"/>
          <w:sz w:val="24"/>
          <w:szCs w:val="24"/>
        </w:rPr>
        <w:t xml:space="preserve"> предприятие. </w:t>
      </w:r>
      <w:r w:rsidR="0089230F" w:rsidRPr="0089230F">
        <w:rPr>
          <w:rFonts w:ascii="Times New Roman" w:hAnsi="Times New Roman" w:cs="Times New Roman"/>
          <w:snapToGrid w:val="0"/>
          <w:sz w:val="24"/>
          <w:szCs w:val="24"/>
        </w:rPr>
        <w:t>Предприятие, являющее</w:t>
      </w:r>
      <w:r w:rsidRPr="0089230F">
        <w:rPr>
          <w:rFonts w:ascii="Times New Roman" w:hAnsi="Times New Roman" w:cs="Times New Roman"/>
          <w:snapToGrid w:val="0"/>
          <w:sz w:val="24"/>
          <w:szCs w:val="24"/>
        </w:rPr>
        <w:t>ся оптово-розничной торговой фирмой, будет дополнительно оказывать транспор</w:t>
      </w:r>
      <w:r w:rsidRPr="0089230F">
        <w:rPr>
          <w:rFonts w:ascii="Times New Roman" w:hAnsi="Times New Roman" w:cs="Times New Roman"/>
          <w:snapToGrid w:val="0"/>
          <w:sz w:val="24"/>
          <w:szCs w:val="24"/>
        </w:rPr>
        <w:t>т</w:t>
      </w:r>
      <w:r w:rsidRPr="0089230F">
        <w:rPr>
          <w:rFonts w:ascii="Times New Roman" w:hAnsi="Times New Roman" w:cs="Times New Roman"/>
          <w:snapToGrid w:val="0"/>
          <w:sz w:val="24"/>
          <w:szCs w:val="24"/>
        </w:rPr>
        <w:t>ные услуги.</w:t>
      </w:r>
    </w:p>
    <w:p w:rsidR="00A909E6" w:rsidRPr="0089230F" w:rsidRDefault="00A909E6" w:rsidP="00A909E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253DB6" w:rsidRPr="00A909E6" w:rsidRDefault="00253DB6" w:rsidP="00A909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909E6">
        <w:rPr>
          <w:rFonts w:ascii="Times New Roman" w:hAnsi="Times New Roman" w:cs="Times New Roman"/>
          <w:b/>
          <w:snapToGrid w:val="0"/>
          <w:sz w:val="24"/>
          <w:szCs w:val="24"/>
        </w:rPr>
        <w:t>Матрица БКГ</w:t>
      </w:r>
    </w:p>
    <w:p w:rsidR="00A3790D" w:rsidRPr="0089230F" w:rsidRDefault="00A3790D" w:rsidP="00A909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30F">
        <w:rPr>
          <w:rFonts w:ascii="Times New Roman" w:hAnsi="Times New Roman" w:cs="Times New Roman"/>
          <w:sz w:val="24"/>
          <w:szCs w:val="24"/>
        </w:rPr>
        <w:t>Наиболее популярная процедура анализа положения на рынке диве</w:t>
      </w:r>
      <w:r w:rsidRPr="0089230F">
        <w:rPr>
          <w:rFonts w:ascii="Times New Roman" w:hAnsi="Times New Roman" w:cs="Times New Roman"/>
          <w:sz w:val="24"/>
          <w:szCs w:val="24"/>
        </w:rPr>
        <w:t>р</w:t>
      </w:r>
      <w:r w:rsidRPr="0089230F">
        <w:rPr>
          <w:rFonts w:ascii="Times New Roman" w:hAnsi="Times New Roman" w:cs="Times New Roman"/>
          <w:sz w:val="24"/>
          <w:szCs w:val="24"/>
        </w:rPr>
        <w:t xml:space="preserve">сифицированной компании (имеющей несколько </w:t>
      </w:r>
      <w:proofErr w:type="gramStart"/>
      <w:r w:rsidRPr="0089230F">
        <w:rPr>
          <w:rFonts w:ascii="Times New Roman" w:hAnsi="Times New Roman" w:cs="Times New Roman"/>
          <w:sz w:val="24"/>
          <w:szCs w:val="24"/>
        </w:rPr>
        <w:t>СЗХ)-</w:t>
      </w:r>
      <w:proofErr w:type="gramEnd"/>
      <w:r w:rsidRPr="0089230F">
        <w:rPr>
          <w:rFonts w:ascii="Times New Roman" w:hAnsi="Times New Roman" w:cs="Times New Roman"/>
          <w:sz w:val="24"/>
          <w:szCs w:val="24"/>
        </w:rPr>
        <w:t xml:space="preserve"> построение матриц портфеля СЗХ. Наибольшее распространение получили матрицы БКГ (BCG - </w:t>
      </w:r>
      <w:proofErr w:type="spellStart"/>
      <w:r w:rsidRPr="0089230F">
        <w:rPr>
          <w:rFonts w:ascii="Times New Roman" w:hAnsi="Times New Roman" w:cs="Times New Roman"/>
          <w:sz w:val="24"/>
          <w:szCs w:val="24"/>
        </w:rPr>
        <w:t>Boston</w:t>
      </w:r>
      <w:proofErr w:type="spellEnd"/>
      <w:r w:rsidRPr="00892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30F">
        <w:rPr>
          <w:rFonts w:ascii="Times New Roman" w:hAnsi="Times New Roman" w:cs="Times New Roman"/>
          <w:sz w:val="24"/>
          <w:szCs w:val="24"/>
        </w:rPr>
        <w:t>Consulting</w:t>
      </w:r>
      <w:proofErr w:type="spellEnd"/>
      <w:r w:rsidRPr="00892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30F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89230F">
        <w:rPr>
          <w:rFonts w:ascii="Times New Roman" w:hAnsi="Times New Roman" w:cs="Times New Roman"/>
          <w:sz w:val="24"/>
          <w:szCs w:val="24"/>
        </w:rPr>
        <w:t>) и «Дженерал электрик».</w:t>
      </w:r>
    </w:p>
    <w:p w:rsidR="00A3790D" w:rsidRPr="0089230F" w:rsidRDefault="00A3790D" w:rsidP="00A909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9230F">
        <w:rPr>
          <w:rFonts w:ascii="Times New Roman" w:hAnsi="Times New Roman" w:cs="Times New Roman"/>
          <w:spacing w:val="-4"/>
          <w:sz w:val="24"/>
          <w:szCs w:val="24"/>
        </w:rPr>
        <w:t xml:space="preserve">Матрица БКГ (рисунок </w:t>
      </w:r>
      <w:r w:rsidR="00253DB6" w:rsidRPr="0089230F">
        <w:rPr>
          <w:rFonts w:ascii="Times New Roman" w:hAnsi="Times New Roman" w:cs="Times New Roman"/>
          <w:spacing w:val="-4"/>
          <w:sz w:val="24"/>
          <w:szCs w:val="24"/>
        </w:rPr>
        <w:t>2)</w:t>
      </w:r>
      <w:r w:rsidRPr="0089230F">
        <w:rPr>
          <w:rFonts w:ascii="Times New Roman" w:hAnsi="Times New Roman" w:cs="Times New Roman"/>
          <w:spacing w:val="-4"/>
          <w:sz w:val="24"/>
          <w:szCs w:val="24"/>
        </w:rPr>
        <w:t xml:space="preserve"> содержит четыре квадранта в координатах скорость роста отрасли - относительная доля рынка, контролируемая фирмой. </w:t>
      </w:r>
    </w:p>
    <w:p w:rsidR="00A3790D" w:rsidRPr="0089230F" w:rsidRDefault="00A3790D" w:rsidP="00A909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3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14825" cy="2828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90D" w:rsidRPr="0089230F" w:rsidRDefault="00A3790D" w:rsidP="00A909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30F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253DB6" w:rsidRPr="0089230F">
        <w:rPr>
          <w:rFonts w:ascii="Times New Roman" w:hAnsi="Times New Roman" w:cs="Times New Roman"/>
          <w:sz w:val="24"/>
          <w:szCs w:val="24"/>
        </w:rPr>
        <w:t>2</w:t>
      </w:r>
      <w:r w:rsidRPr="0089230F">
        <w:rPr>
          <w:rFonts w:ascii="Times New Roman" w:hAnsi="Times New Roman" w:cs="Times New Roman"/>
          <w:sz w:val="24"/>
          <w:szCs w:val="24"/>
        </w:rPr>
        <w:t xml:space="preserve"> - Матрица БКГ для </w:t>
      </w:r>
      <w:r w:rsidR="008121E6">
        <w:rPr>
          <w:rFonts w:ascii="Times New Roman" w:hAnsi="Times New Roman" w:cs="Times New Roman"/>
          <w:sz w:val="24"/>
          <w:szCs w:val="24"/>
        </w:rPr>
        <w:t>предприятия</w:t>
      </w:r>
    </w:p>
    <w:p w:rsidR="00A3790D" w:rsidRPr="0089230F" w:rsidRDefault="00A3790D" w:rsidP="00A909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90D" w:rsidRPr="0089230F" w:rsidRDefault="00A3790D" w:rsidP="00A909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30F">
        <w:rPr>
          <w:rFonts w:ascii="Times New Roman" w:hAnsi="Times New Roman" w:cs="Times New Roman"/>
          <w:sz w:val="24"/>
          <w:szCs w:val="24"/>
        </w:rPr>
        <w:t>Каждая СЗХ определяется кругом в этих координатах, причем площадь круга соответствует объему продаж в СЗХ или относительной доле СЗХ в продажах всей фирмы. Относительная доля рынка определяется как отнош</w:t>
      </w:r>
      <w:r w:rsidRPr="0089230F">
        <w:rPr>
          <w:rFonts w:ascii="Times New Roman" w:hAnsi="Times New Roman" w:cs="Times New Roman"/>
          <w:sz w:val="24"/>
          <w:szCs w:val="24"/>
        </w:rPr>
        <w:t>е</w:t>
      </w:r>
      <w:r w:rsidRPr="0089230F">
        <w:rPr>
          <w:rFonts w:ascii="Times New Roman" w:hAnsi="Times New Roman" w:cs="Times New Roman"/>
          <w:sz w:val="24"/>
          <w:szCs w:val="24"/>
        </w:rPr>
        <w:t xml:space="preserve">ние объема продаж в СЗХ к объему продаж средней СЗХ фирм, действующих на этом рынке. </w:t>
      </w:r>
    </w:p>
    <w:p w:rsidR="00A3790D" w:rsidRPr="0089230F" w:rsidRDefault="00A3790D" w:rsidP="00A909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30F">
        <w:rPr>
          <w:rFonts w:ascii="Times New Roman" w:hAnsi="Times New Roman" w:cs="Times New Roman"/>
          <w:sz w:val="24"/>
          <w:szCs w:val="24"/>
        </w:rPr>
        <w:t xml:space="preserve">У </w:t>
      </w:r>
      <w:r w:rsidR="008121E6">
        <w:rPr>
          <w:rFonts w:ascii="Times New Roman" w:hAnsi="Times New Roman" w:cs="Times New Roman"/>
          <w:sz w:val="24"/>
          <w:szCs w:val="24"/>
        </w:rPr>
        <w:t>предприятия</w:t>
      </w:r>
      <w:r w:rsidRPr="0089230F">
        <w:rPr>
          <w:rFonts w:ascii="Times New Roman" w:hAnsi="Times New Roman" w:cs="Times New Roman"/>
          <w:sz w:val="24"/>
          <w:szCs w:val="24"/>
        </w:rPr>
        <w:t xml:space="preserve"> имеются две СЗХ:</w:t>
      </w:r>
    </w:p>
    <w:p w:rsidR="00A3790D" w:rsidRPr="0089230F" w:rsidRDefault="00A3790D" w:rsidP="00A909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30F">
        <w:rPr>
          <w:rFonts w:ascii="Times New Roman" w:hAnsi="Times New Roman" w:cs="Times New Roman"/>
          <w:sz w:val="24"/>
          <w:szCs w:val="24"/>
        </w:rPr>
        <w:t xml:space="preserve">СЗХ 1 </w:t>
      </w:r>
      <w:r w:rsidRPr="0089230F">
        <w:rPr>
          <w:rFonts w:ascii="Times New Roman" w:hAnsi="Times New Roman" w:cs="Times New Roman"/>
          <w:sz w:val="24"/>
          <w:szCs w:val="24"/>
        </w:rPr>
        <w:noBreakHyphen/>
        <w:t xml:space="preserve"> крахмал для пищевой отрасли;</w:t>
      </w:r>
      <w:bookmarkStart w:id="7" w:name="_GoBack"/>
      <w:bookmarkEnd w:id="7"/>
    </w:p>
    <w:p w:rsidR="00A3790D" w:rsidRPr="0089230F" w:rsidRDefault="00A3790D" w:rsidP="00A909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30F">
        <w:rPr>
          <w:rFonts w:ascii="Times New Roman" w:hAnsi="Times New Roman" w:cs="Times New Roman"/>
          <w:sz w:val="24"/>
          <w:szCs w:val="24"/>
        </w:rPr>
        <w:t>СЗХ 2 – крахмальный реагент – для строительства и бурения скважин.</w:t>
      </w:r>
    </w:p>
    <w:p w:rsidR="00A3790D" w:rsidRPr="0089230F" w:rsidRDefault="00A3790D" w:rsidP="00A909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30F">
        <w:rPr>
          <w:rFonts w:ascii="Times New Roman" w:hAnsi="Times New Roman" w:cs="Times New Roman"/>
          <w:sz w:val="24"/>
          <w:szCs w:val="24"/>
        </w:rPr>
        <w:t xml:space="preserve">На рис. </w:t>
      </w:r>
      <w:r w:rsidR="00253DB6" w:rsidRPr="0089230F">
        <w:rPr>
          <w:rFonts w:ascii="Times New Roman" w:hAnsi="Times New Roman" w:cs="Times New Roman"/>
          <w:sz w:val="24"/>
          <w:szCs w:val="24"/>
        </w:rPr>
        <w:t>2</w:t>
      </w:r>
      <w:r w:rsidRPr="0089230F">
        <w:rPr>
          <w:rFonts w:ascii="Times New Roman" w:hAnsi="Times New Roman" w:cs="Times New Roman"/>
          <w:sz w:val="24"/>
          <w:szCs w:val="24"/>
        </w:rPr>
        <w:t xml:space="preserve"> мы видим, что при помощи матрицы БКГ СЗХ фирмы гру</w:t>
      </w:r>
      <w:r w:rsidRPr="0089230F">
        <w:rPr>
          <w:rFonts w:ascii="Times New Roman" w:hAnsi="Times New Roman" w:cs="Times New Roman"/>
          <w:sz w:val="24"/>
          <w:szCs w:val="24"/>
        </w:rPr>
        <w:t>п</w:t>
      </w:r>
      <w:r w:rsidRPr="0089230F">
        <w:rPr>
          <w:rFonts w:ascii="Times New Roman" w:hAnsi="Times New Roman" w:cs="Times New Roman"/>
          <w:sz w:val="24"/>
          <w:szCs w:val="24"/>
        </w:rPr>
        <w:t xml:space="preserve">пируются в четыре зоны. СЗХ 1 попадает в область «Дойные коровы», СЗХ 2 – в </w:t>
      </w:r>
      <w:proofErr w:type="gramStart"/>
      <w:r w:rsidRPr="0089230F">
        <w:rPr>
          <w:rFonts w:ascii="Times New Roman" w:hAnsi="Times New Roman" w:cs="Times New Roman"/>
          <w:sz w:val="24"/>
          <w:szCs w:val="24"/>
        </w:rPr>
        <w:t>область  «</w:t>
      </w:r>
      <w:proofErr w:type="gramEnd"/>
      <w:r w:rsidRPr="0089230F">
        <w:rPr>
          <w:rFonts w:ascii="Times New Roman" w:hAnsi="Times New Roman" w:cs="Times New Roman"/>
          <w:sz w:val="24"/>
          <w:szCs w:val="24"/>
        </w:rPr>
        <w:t>Звезды».</w:t>
      </w:r>
    </w:p>
    <w:p w:rsidR="008121E6" w:rsidRDefault="00A3790D" w:rsidP="00A909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30F">
        <w:rPr>
          <w:rFonts w:ascii="Times New Roman" w:hAnsi="Times New Roman" w:cs="Times New Roman"/>
          <w:sz w:val="24"/>
          <w:szCs w:val="24"/>
        </w:rPr>
        <w:t>«Дойные коровы». Бизнес в этом секторе с относительно большой ко</w:t>
      </w:r>
      <w:r w:rsidRPr="0089230F">
        <w:rPr>
          <w:rFonts w:ascii="Times New Roman" w:hAnsi="Times New Roman" w:cs="Times New Roman"/>
          <w:sz w:val="24"/>
          <w:szCs w:val="24"/>
        </w:rPr>
        <w:t>н</w:t>
      </w:r>
      <w:r w:rsidRPr="0089230F">
        <w:rPr>
          <w:rFonts w:ascii="Times New Roman" w:hAnsi="Times New Roman" w:cs="Times New Roman"/>
          <w:sz w:val="24"/>
          <w:szCs w:val="24"/>
        </w:rPr>
        <w:t xml:space="preserve">тролируемой частью рынка и при лидирующих позициях в отрасли (у </w:t>
      </w:r>
      <w:r w:rsidR="008121E6">
        <w:rPr>
          <w:rFonts w:ascii="Times New Roman" w:hAnsi="Times New Roman" w:cs="Times New Roman"/>
          <w:sz w:val="24"/>
          <w:szCs w:val="24"/>
        </w:rPr>
        <w:t>предприятия</w:t>
      </w:r>
    </w:p>
    <w:p w:rsidR="00A3790D" w:rsidRPr="0089230F" w:rsidRDefault="00A3790D" w:rsidP="00A909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30F">
        <w:rPr>
          <w:rFonts w:ascii="Times New Roman" w:hAnsi="Times New Roman" w:cs="Times New Roman"/>
          <w:sz w:val="24"/>
          <w:szCs w:val="24"/>
        </w:rPr>
        <w:lastRenderedPageBreak/>
        <w:t xml:space="preserve"> доля рынка составляет 21 %) обеспечивает достаточно прит</w:t>
      </w:r>
      <w:r w:rsidRPr="0089230F">
        <w:rPr>
          <w:rFonts w:ascii="Times New Roman" w:hAnsi="Times New Roman" w:cs="Times New Roman"/>
          <w:sz w:val="24"/>
          <w:szCs w:val="24"/>
        </w:rPr>
        <w:t>я</w:t>
      </w:r>
      <w:r w:rsidRPr="0089230F">
        <w:rPr>
          <w:rFonts w:ascii="Times New Roman" w:hAnsi="Times New Roman" w:cs="Times New Roman"/>
          <w:sz w:val="24"/>
          <w:szCs w:val="24"/>
        </w:rPr>
        <w:t>гательную прибыль, но вследствие слабого роста отрасли в целом нет нео</w:t>
      </w:r>
      <w:r w:rsidRPr="0089230F">
        <w:rPr>
          <w:rFonts w:ascii="Times New Roman" w:hAnsi="Times New Roman" w:cs="Times New Roman"/>
          <w:sz w:val="24"/>
          <w:szCs w:val="24"/>
        </w:rPr>
        <w:t>б</w:t>
      </w:r>
      <w:r w:rsidRPr="0089230F">
        <w:rPr>
          <w:rFonts w:ascii="Times New Roman" w:hAnsi="Times New Roman" w:cs="Times New Roman"/>
          <w:sz w:val="24"/>
          <w:szCs w:val="24"/>
        </w:rPr>
        <w:t>ходимости реинвестировать капитал для поддержания позиции СЗХ на ры</w:t>
      </w:r>
      <w:r w:rsidRPr="0089230F">
        <w:rPr>
          <w:rFonts w:ascii="Times New Roman" w:hAnsi="Times New Roman" w:cs="Times New Roman"/>
          <w:sz w:val="24"/>
          <w:szCs w:val="24"/>
        </w:rPr>
        <w:t>н</w:t>
      </w:r>
      <w:r w:rsidRPr="0089230F">
        <w:rPr>
          <w:rFonts w:ascii="Times New Roman" w:hAnsi="Times New Roman" w:cs="Times New Roman"/>
          <w:sz w:val="24"/>
          <w:szCs w:val="24"/>
        </w:rPr>
        <w:t>ке, а потоки инвестиций целесообразно направить в другие секторы.</w:t>
      </w:r>
    </w:p>
    <w:p w:rsidR="00A3790D" w:rsidRPr="0089230F" w:rsidRDefault="00A3790D" w:rsidP="00A909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30F">
        <w:rPr>
          <w:rFonts w:ascii="Times New Roman" w:hAnsi="Times New Roman" w:cs="Times New Roman"/>
          <w:sz w:val="24"/>
          <w:szCs w:val="24"/>
        </w:rPr>
        <w:t>«Звезды» - самая лучшая позиция для бизнеса. Так как СЗХ 2 долго существует и приближается к зрелости, оно поддерживает сама себя, не тр</w:t>
      </w:r>
      <w:r w:rsidRPr="0089230F">
        <w:rPr>
          <w:rFonts w:ascii="Times New Roman" w:hAnsi="Times New Roman" w:cs="Times New Roman"/>
          <w:sz w:val="24"/>
          <w:szCs w:val="24"/>
        </w:rPr>
        <w:t>е</w:t>
      </w:r>
      <w:r w:rsidRPr="0089230F">
        <w:rPr>
          <w:rFonts w:ascii="Times New Roman" w:hAnsi="Times New Roman" w:cs="Times New Roman"/>
          <w:sz w:val="24"/>
          <w:szCs w:val="24"/>
        </w:rPr>
        <w:t>буя существенных инвестиций.</w:t>
      </w:r>
    </w:p>
    <w:p w:rsidR="00A3790D" w:rsidRPr="0089230F" w:rsidRDefault="00A3790D" w:rsidP="00A909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30F">
        <w:rPr>
          <w:rFonts w:ascii="Times New Roman" w:hAnsi="Times New Roman" w:cs="Times New Roman"/>
          <w:sz w:val="24"/>
          <w:szCs w:val="24"/>
        </w:rPr>
        <w:t xml:space="preserve">Таким образом, матрица БКГ дает наглядное представление о портфеле СЗХ фирмы, позволяет сформулировать основные направления ее стратегий, направление развития каждой СЗХ, представить потоки инвестиций в фирме, их приоритеты. </w:t>
      </w:r>
    </w:p>
    <w:p w:rsidR="00A3790D" w:rsidRPr="0089230F" w:rsidRDefault="00A3790D" w:rsidP="00A909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30F">
        <w:rPr>
          <w:rFonts w:ascii="Times New Roman" w:hAnsi="Times New Roman" w:cs="Times New Roman"/>
          <w:sz w:val="24"/>
          <w:szCs w:val="24"/>
        </w:rPr>
        <w:t>Однако надо отметить и определенные ограничения ее применения:</w:t>
      </w:r>
    </w:p>
    <w:p w:rsidR="00A3790D" w:rsidRPr="0089230F" w:rsidRDefault="00A3790D" w:rsidP="00A909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30F">
        <w:rPr>
          <w:rFonts w:ascii="Times New Roman" w:hAnsi="Times New Roman" w:cs="Times New Roman"/>
          <w:sz w:val="24"/>
          <w:szCs w:val="24"/>
        </w:rPr>
        <w:t>1) Низка размерность матрицы (2 х 2), желательно ее увеличить.</w:t>
      </w:r>
    </w:p>
    <w:p w:rsidR="00A3790D" w:rsidRPr="0089230F" w:rsidRDefault="00A3790D" w:rsidP="00A909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30F">
        <w:rPr>
          <w:rFonts w:ascii="Times New Roman" w:hAnsi="Times New Roman" w:cs="Times New Roman"/>
          <w:sz w:val="24"/>
          <w:szCs w:val="24"/>
        </w:rPr>
        <w:t>2) Соответственно все СЗХ разбиты лишь на четыре типа и показывают сегодняшнее состояние, а не потенциальные возможности развития.</w:t>
      </w:r>
    </w:p>
    <w:p w:rsidR="00A3790D" w:rsidRPr="0089230F" w:rsidRDefault="00A3790D" w:rsidP="00A909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30F">
        <w:rPr>
          <w:rFonts w:ascii="Times New Roman" w:hAnsi="Times New Roman" w:cs="Times New Roman"/>
          <w:sz w:val="24"/>
          <w:szCs w:val="24"/>
        </w:rPr>
        <w:t>3) Матрицы БКГ хорошо отражают ситуацию и пригодны для принятия решений в относительно стабильных областях экономики.</w:t>
      </w:r>
    </w:p>
    <w:p w:rsidR="00A3790D" w:rsidRPr="0089230F" w:rsidRDefault="00A3790D" w:rsidP="00A909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30F">
        <w:rPr>
          <w:rFonts w:ascii="Times New Roman" w:hAnsi="Times New Roman" w:cs="Times New Roman"/>
          <w:sz w:val="24"/>
          <w:szCs w:val="24"/>
        </w:rPr>
        <w:t>С целью преодоления этих ограничений матричная техника соверше</w:t>
      </w:r>
      <w:r w:rsidRPr="0089230F">
        <w:rPr>
          <w:rFonts w:ascii="Times New Roman" w:hAnsi="Times New Roman" w:cs="Times New Roman"/>
          <w:sz w:val="24"/>
          <w:szCs w:val="24"/>
        </w:rPr>
        <w:t>н</w:t>
      </w:r>
      <w:r w:rsidRPr="0089230F">
        <w:rPr>
          <w:rFonts w:ascii="Times New Roman" w:hAnsi="Times New Roman" w:cs="Times New Roman"/>
          <w:sz w:val="24"/>
          <w:szCs w:val="24"/>
        </w:rPr>
        <w:t>ствуется прежде всего в направлении использования более сложных и и</w:t>
      </w:r>
      <w:r w:rsidRPr="0089230F">
        <w:rPr>
          <w:rFonts w:ascii="Times New Roman" w:hAnsi="Times New Roman" w:cs="Times New Roman"/>
          <w:sz w:val="24"/>
          <w:szCs w:val="24"/>
        </w:rPr>
        <w:t>н</w:t>
      </w:r>
      <w:r w:rsidRPr="0089230F">
        <w:rPr>
          <w:rFonts w:ascii="Times New Roman" w:hAnsi="Times New Roman" w:cs="Times New Roman"/>
          <w:sz w:val="24"/>
          <w:szCs w:val="24"/>
        </w:rPr>
        <w:t>формативных переменных:</w:t>
      </w:r>
    </w:p>
    <w:p w:rsidR="00A3790D" w:rsidRPr="0089230F" w:rsidRDefault="00A3790D" w:rsidP="00A909E6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30F">
        <w:rPr>
          <w:rFonts w:ascii="Times New Roman" w:hAnsi="Times New Roman" w:cs="Times New Roman"/>
          <w:sz w:val="24"/>
          <w:szCs w:val="24"/>
        </w:rPr>
        <w:t>вместо скорости роста отрасли используется привлекательность СЗХ,</w:t>
      </w:r>
    </w:p>
    <w:p w:rsidR="00A3790D" w:rsidRPr="0089230F" w:rsidRDefault="00A3790D" w:rsidP="00A909E6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30F">
        <w:rPr>
          <w:rFonts w:ascii="Times New Roman" w:hAnsi="Times New Roman" w:cs="Times New Roman"/>
          <w:sz w:val="24"/>
          <w:szCs w:val="24"/>
        </w:rPr>
        <w:t>вместо контролируемой доли рынка - конкурентный статус фирмы.</w:t>
      </w:r>
    </w:p>
    <w:p w:rsidR="00A3790D" w:rsidRPr="0089230F" w:rsidRDefault="00A3790D" w:rsidP="00A909E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A3790D" w:rsidRPr="0089230F" w:rsidRDefault="00A3790D" w:rsidP="00A909E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E34EFB" w:rsidRPr="0089230F" w:rsidRDefault="00E34EFB" w:rsidP="00A909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34EFB" w:rsidRPr="0089230F" w:rsidRDefault="00E34EFB" w:rsidP="00A90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4EFB" w:rsidRPr="0089230F" w:rsidSect="00A90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435DE"/>
    <w:multiLevelType w:val="hybridMultilevel"/>
    <w:tmpl w:val="734472D2"/>
    <w:lvl w:ilvl="0" w:tplc="0994D366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925BE9"/>
    <w:multiLevelType w:val="hybridMultilevel"/>
    <w:tmpl w:val="AD10F444"/>
    <w:lvl w:ilvl="0" w:tplc="12FA7984">
      <w:start w:val="1"/>
      <w:numFmt w:val="bullet"/>
      <w:lvlText w:val=""/>
      <w:lvlJc w:val="left"/>
      <w:pPr>
        <w:tabs>
          <w:tab w:val="num" w:pos="283"/>
        </w:tabs>
        <w:ind w:left="-142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8972A76"/>
    <w:multiLevelType w:val="hybridMultilevel"/>
    <w:tmpl w:val="3C76FEFA"/>
    <w:lvl w:ilvl="0" w:tplc="638C763A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37"/>
    <w:rsid w:val="00253DB6"/>
    <w:rsid w:val="004E5F37"/>
    <w:rsid w:val="00761625"/>
    <w:rsid w:val="00772514"/>
    <w:rsid w:val="008121E6"/>
    <w:rsid w:val="0089230F"/>
    <w:rsid w:val="00A3790D"/>
    <w:rsid w:val="00A909E6"/>
    <w:rsid w:val="00AF36FB"/>
    <w:rsid w:val="00E3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90BEF-A324-47FB-8A06-9D12FDEE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379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16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cxsplastcxsplast">
    <w:name w:val="listparagraphcxsplastcxsplast"/>
    <w:basedOn w:val="a"/>
    <w:rsid w:val="00E3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4EFB"/>
    <w:rPr>
      <w:b/>
      <w:bCs/>
    </w:rPr>
  </w:style>
  <w:style w:type="paragraph" w:customStyle="1" w:styleId="listparagraph">
    <w:name w:val="listparagraph"/>
    <w:basedOn w:val="a"/>
    <w:rsid w:val="00E3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cxspmiddlecxspmiddle">
    <w:name w:val="listparagraphcxspmiddlecxspmiddle"/>
    <w:basedOn w:val="a"/>
    <w:rsid w:val="00E3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cxspmiddlecxspmiddlecxspmiddle">
    <w:name w:val="listparagraphcxspmiddlecxspmiddlecxspmiddle"/>
    <w:basedOn w:val="a"/>
    <w:rsid w:val="00E3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cxspmiddle">
    <w:name w:val="listparagraphcxspmiddle"/>
    <w:basedOn w:val="a"/>
    <w:rsid w:val="00E3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autoRedefine/>
    <w:rsid w:val="00A3790D"/>
    <w:pPr>
      <w:spacing w:after="0" w:line="240" w:lineRule="auto"/>
    </w:pPr>
    <w:rPr>
      <w:rFonts w:ascii="Times New Roman" w:eastAsia="Times New Roman" w:hAnsi="Times New Roman" w:cs="Verdana"/>
      <w:b/>
      <w:caps/>
      <w:sz w:val="24"/>
      <w:szCs w:val="24"/>
      <w:lang w:val="en-US"/>
    </w:rPr>
  </w:style>
  <w:style w:type="table" w:styleId="a7">
    <w:name w:val="Table Grid"/>
    <w:basedOn w:val="a1"/>
    <w:rsid w:val="00A3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A3790D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Iron</cp:lastModifiedBy>
  <cp:revision>4</cp:revision>
  <dcterms:created xsi:type="dcterms:W3CDTF">2019-12-10T18:30:00Z</dcterms:created>
  <dcterms:modified xsi:type="dcterms:W3CDTF">2019-12-10T19:04:00Z</dcterms:modified>
</cp:coreProperties>
</file>